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97A" w:rsidRDefault="0084797A">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84797A" w:rsidRDefault="0084797A">
      <w:pPr>
        <w:pStyle w:val="ConsPlusNormal"/>
        <w:jc w:val="both"/>
        <w:outlineLvl w:val="0"/>
      </w:pPr>
    </w:p>
    <w:p w:rsidR="0084797A" w:rsidRDefault="0084797A">
      <w:pPr>
        <w:pStyle w:val="ConsPlusNormal"/>
        <w:outlineLvl w:val="0"/>
      </w:pPr>
      <w:r>
        <w:t>Зарегистрировано в Минюсте России 17 февраля 2022 г. N 67329</w:t>
      </w:r>
    </w:p>
    <w:p w:rsidR="0084797A" w:rsidRDefault="0084797A">
      <w:pPr>
        <w:pStyle w:val="ConsPlusNormal"/>
        <w:pBdr>
          <w:bottom w:val="single" w:sz="6" w:space="0" w:color="auto"/>
        </w:pBdr>
        <w:spacing w:before="100" w:after="100"/>
        <w:jc w:val="both"/>
        <w:rPr>
          <w:sz w:val="2"/>
          <w:szCs w:val="2"/>
        </w:rPr>
      </w:pPr>
    </w:p>
    <w:p w:rsidR="0084797A" w:rsidRDefault="0084797A">
      <w:pPr>
        <w:pStyle w:val="ConsPlusNormal"/>
        <w:jc w:val="both"/>
      </w:pPr>
    </w:p>
    <w:p w:rsidR="0084797A" w:rsidRDefault="0084797A">
      <w:pPr>
        <w:pStyle w:val="ConsPlusTitle"/>
        <w:jc w:val="center"/>
      </w:pPr>
      <w:r>
        <w:t>МИНИСТЕРСТВО ПРИРОДНЫХ РЕСУРСОВ И ЭКОЛОГИИ</w:t>
      </w:r>
    </w:p>
    <w:p w:rsidR="0084797A" w:rsidRDefault="0084797A">
      <w:pPr>
        <w:pStyle w:val="ConsPlusTitle"/>
        <w:jc w:val="center"/>
      </w:pPr>
      <w:r>
        <w:t>РОССИЙСКОЙ ФЕДЕРАЦИИ</w:t>
      </w:r>
    </w:p>
    <w:p w:rsidR="0084797A" w:rsidRDefault="0084797A">
      <w:pPr>
        <w:pStyle w:val="ConsPlusTitle"/>
        <w:jc w:val="center"/>
      </w:pPr>
    </w:p>
    <w:p w:rsidR="0084797A" w:rsidRDefault="0084797A">
      <w:pPr>
        <w:pStyle w:val="ConsPlusTitle"/>
        <w:jc w:val="center"/>
      </w:pPr>
      <w:r>
        <w:t>ПРИКАЗ</w:t>
      </w:r>
    </w:p>
    <w:p w:rsidR="0084797A" w:rsidRDefault="0084797A">
      <w:pPr>
        <w:pStyle w:val="ConsPlusTitle"/>
        <w:jc w:val="center"/>
      </w:pPr>
      <w:r>
        <w:t>от 27 января 2022 г. N 49</w:t>
      </w:r>
    </w:p>
    <w:p w:rsidR="0084797A" w:rsidRDefault="0084797A">
      <w:pPr>
        <w:pStyle w:val="ConsPlusTitle"/>
        <w:jc w:val="center"/>
      </w:pPr>
    </w:p>
    <w:p w:rsidR="0084797A" w:rsidRDefault="0084797A">
      <w:pPr>
        <w:pStyle w:val="ConsPlusTitle"/>
        <w:jc w:val="center"/>
      </w:pPr>
      <w:r>
        <w:t>ОБ УТВЕРЖДЕНИИ НОРМАТИВОВ</w:t>
      </w:r>
    </w:p>
    <w:p w:rsidR="0084797A" w:rsidRDefault="0084797A">
      <w:pPr>
        <w:pStyle w:val="ConsPlusTitle"/>
        <w:jc w:val="center"/>
      </w:pPr>
      <w:r>
        <w:t>ДОПУСТИМОГО ИЗЪЯТИЯ ОХОТНИЧЬИХ РЕСУРСОВ, НОРМАТИВОВ</w:t>
      </w:r>
    </w:p>
    <w:p w:rsidR="0084797A" w:rsidRDefault="0084797A">
      <w:pPr>
        <w:pStyle w:val="ConsPlusTitle"/>
        <w:jc w:val="center"/>
      </w:pPr>
      <w:r>
        <w:t>БИОТЕХНИЧЕСКИХ МЕРОПРИЯТИЙ И О ПРИЗНАНИИ УТРАТИВШИМ СИЛУ</w:t>
      </w:r>
    </w:p>
    <w:p w:rsidR="0084797A" w:rsidRDefault="0084797A">
      <w:pPr>
        <w:pStyle w:val="ConsPlusTitle"/>
        <w:jc w:val="center"/>
      </w:pPr>
      <w:r>
        <w:t>ПРИКАЗА МИНИСТЕРСТВА ПРИРОДНЫХ РЕСУРСОВ И ЭКОЛОГИИ</w:t>
      </w:r>
    </w:p>
    <w:p w:rsidR="0084797A" w:rsidRDefault="0084797A">
      <w:pPr>
        <w:pStyle w:val="ConsPlusTitle"/>
        <w:jc w:val="center"/>
      </w:pPr>
      <w:r>
        <w:t>РОССИЙСКОЙ ФЕДЕРАЦИИ ОТ 25 НОЯБРЯ 2020 Г. N 965</w:t>
      </w:r>
    </w:p>
    <w:p w:rsidR="0084797A" w:rsidRDefault="008479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797A">
        <w:tc>
          <w:tcPr>
            <w:tcW w:w="60" w:type="dxa"/>
            <w:tcBorders>
              <w:top w:val="nil"/>
              <w:left w:val="nil"/>
              <w:bottom w:val="nil"/>
              <w:right w:val="nil"/>
            </w:tcBorders>
            <w:shd w:val="clear" w:color="auto" w:fill="CED3F1"/>
            <w:tcMar>
              <w:top w:w="0" w:type="dxa"/>
              <w:left w:w="0" w:type="dxa"/>
              <w:bottom w:w="0" w:type="dxa"/>
              <w:right w:w="0" w:type="dxa"/>
            </w:tcMar>
          </w:tcPr>
          <w:p w:rsidR="0084797A" w:rsidRDefault="008479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797A" w:rsidRDefault="008479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797A" w:rsidRDefault="0084797A">
            <w:pPr>
              <w:pStyle w:val="ConsPlusNormal"/>
              <w:jc w:val="center"/>
            </w:pPr>
            <w:r>
              <w:rPr>
                <w:color w:val="392C69"/>
              </w:rPr>
              <w:t>Список изменяющих документов</w:t>
            </w:r>
          </w:p>
          <w:p w:rsidR="0084797A" w:rsidRDefault="0084797A">
            <w:pPr>
              <w:pStyle w:val="ConsPlusNormal"/>
              <w:jc w:val="center"/>
            </w:pPr>
            <w:r>
              <w:rPr>
                <w:color w:val="392C69"/>
              </w:rPr>
              <w:t xml:space="preserve">(в ред. </w:t>
            </w:r>
            <w:hyperlink r:id="rId6">
              <w:r>
                <w:rPr>
                  <w:color w:val="0000FF"/>
                </w:rPr>
                <w:t>Приказа</w:t>
              </w:r>
            </w:hyperlink>
            <w:r>
              <w:rPr>
                <w:color w:val="392C69"/>
              </w:rPr>
              <w:t xml:space="preserve"> Минприроды России от 29.09.2023 N 633)</w:t>
            </w:r>
          </w:p>
        </w:tc>
        <w:tc>
          <w:tcPr>
            <w:tcW w:w="113" w:type="dxa"/>
            <w:tcBorders>
              <w:top w:val="nil"/>
              <w:left w:val="nil"/>
              <w:bottom w:val="nil"/>
              <w:right w:val="nil"/>
            </w:tcBorders>
            <w:shd w:val="clear" w:color="auto" w:fill="F4F3F8"/>
            <w:tcMar>
              <w:top w:w="0" w:type="dxa"/>
              <w:left w:w="0" w:type="dxa"/>
              <w:bottom w:w="0" w:type="dxa"/>
              <w:right w:w="0" w:type="dxa"/>
            </w:tcMar>
          </w:tcPr>
          <w:p w:rsidR="0084797A" w:rsidRDefault="0084797A">
            <w:pPr>
              <w:pStyle w:val="ConsPlusNormal"/>
            </w:pPr>
          </w:p>
        </w:tc>
      </w:tr>
    </w:tbl>
    <w:p w:rsidR="0084797A" w:rsidRDefault="0084797A">
      <w:pPr>
        <w:pStyle w:val="ConsPlusNormal"/>
        <w:jc w:val="both"/>
      </w:pPr>
    </w:p>
    <w:p w:rsidR="0084797A" w:rsidRDefault="0084797A">
      <w:pPr>
        <w:pStyle w:val="ConsPlusNormal"/>
        <w:ind w:firstLine="540"/>
        <w:jc w:val="both"/>
      </w:pPr>
      <w:r>
        <w:t xml:space="preserve">В целях реализации </w:t>
      </w:r>
      <w:hyperlink r:id="rId7">
        <w:r>
          <w:rPr>
            <w:color w:val="0000FF"/>
          </w:rPr>
          <w:t>пункта 1 статьи 32</w:t>
        </w:r>
      </w:hyperlink>
      <w:r>
        <w:t xml:space="preserve"> и </w:t>
      </w:r>
      <w:hyperlink r:id="rId8">
        <w:r>
          <w:rPr>
            <w:color w:val="0000FF"/>
          </w:rPr>
          <w:t>части 4 статьи 38</w:t>
        </w:r>
      </w:hyperlink>
      <w: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2021, N 24, ст. 4182) и в соответствии с </w:t>
      </w:r>
      <w:hyperlink r:id="rId9">
        <w:r>
          <w:rPr>
            <w:color w:val="0000FF"/>
          </w:rPr>
          <w:t>подпунктом 5.2.83 пункта 5</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2021, N 23, ст. 4074), приказываю:</w:t>
      </w:r>
    </w:p>
    <w:p w:rsidR="0084797A" w:rsidRDefault="0084797A">
      <w:pPr>
        <w:pStyle w:val="ConsPlusNormal"/>
        <w:spacing w:before="220"/>
        <w:ind w:firstLine="540"/>
        <w:jc w:val="both"/>
      </w:pPr>
      <w:r>
        <w:t>1. Утвердить прилагаемые:</w:t>
      </w:r>
    </w:p>
    <w:p w:rsidR="0084797A" w:rsidRDefault="00FC5111">
      <w:pPr>
        <w:pStyle w:val="ConsPlusNormal"/>
        <w:spacing w:before="220"/>
        <w:ind w:firstLine="540"/>
        <w:jc w:val="both"/>
      </w:pPr>
      <w:hyperlink w:anchor="P38">
        <w:r w:rsidR="0084797A">
          <w:rPr>
            <w:color w:val="0000FF"/>
          </w:rPr>
          <w:t>нормативы</w:t>
        </w:r>
      </w:hyperlink>
      <w:r w:rsidR="0084797A">
        <w:t xml:space="preserve"> допустимого изъятия охотничьих ресурсов (приложение N 1);</w:t>
      </w:r>
    </w:p>
    <w:p w:rsidR="0084797A" w:rsidRDefault="00FC5111">
      <w:pPr>
        <w:pStyle w:val="ConsPlusNormal"/>
        <w:spacing w:before="220"/>
        <w:ind w:firstLine="540"/>
        <w:jc w:val="both"/>
      </w:pPr>
      <w:hyperlink w:anchor="P152">
        <w:r w:rsidR="0084797A">
          <w:rPr>
            <w:color w:val="0000FF"/>
          </w:rPr>
          <w:t>нормативы</w:t>
        </w:r>
      </w:hyperlink>
      <w:r w:rsidR="0084797A">
        <w:t xml:space="preserve"> биотехнических мероприятий (приложение N 2);</w:t>
      </w:r>
    </w:p>
    <w:p w:rsidR="0084797A" w:rsidRDefault="0084797A">
      <w:pPr>
        <w:pStyle w:val="ConsPlusNormal"/>
        <w:spacing w:before="220"/>
        <w:ind w:firstLine="540"/>
        <w:jc w:val="both"/>
      </w:pPr>
      <w:r>
        <w:t xml:space="preserve">2. Признать утратившим силу </w:t>
      </w:r>
      <w:hyperlink r:id="rId10">
        <w:r>
          <w:rPr>
            <w:color w:val="0000FF"/>
          </w:rPr>
          <w:t>приказ</w:t>
        </w:r>
      </w:hyperlink>
      <w:r>
        <w:t xml:space="preserve"> Министерства природных ресурсов и экологии Российской Федерации от 25 ноября 2020 г. N 965 "Об утверждении нормативов допустимого изъятия охотничьих ресурсов и нормативов численности охотничьих ресурсов в охотничьих угодьях" (зарегистрирован Министерством юстиции Российской Федерации 11 декабря 2020 г., регистрационный N 61393).</w:t>
      </w:r>
    </w:p>
    <w:p w:rsidR="0084797A" w:rsidRDefault="0084797A">
      <w:pPr>
        <w:pStyle w:val="ConsPlusNormal"/>
        <w:spacing w:before="220"/>
        <w:ind w:firstLine="540"/>
        <w:jc w:val="both"/>
      </w:pPr>
      <w:r>
        <w:t>3. Настоящий приказ вступает в силу с 1 сентября 2022 года и действует 6 лет со дня вступления в силу.</w:t>
      </w:r>
    </w:p>
    <w:p w:rsidR="0084797A" w:rsidRDefault="0084797A">
      <w:pPr>
        <w:pStyle w:val="ConsPlusNormal"/>
        <w:jc w:val="both"/>
      </w:pPr>
    </w:p>
    <w:p w:rsidR="0084797A" w:rsidRDefault="0084797A">
      <w:pPr>
        <w:pStyle w:val="ConsPlusNormal"/>
        <w:jc w:val="right"/>
      </w:pPr>
      <w:r>
        <w:t>Министр</w:t>
      </w:r>
    </w:p>
    <w:p w:rsidR="0084797A" w:rsidRDefault="0084797A">
      <w:pPr>
        <w:pStyle w:val="ConsPlusNormal"/>
        <w:jc w:val="right"/>
      </w:pPr>
      <w:r>
        <w:t>А.А.КОЗЛОВ</w:t>
      </w:r>
    </w:p>
    <w:p w:rsidR="0084797A" w:rsidRDefault="0084797A">
      <w:pPr>
        <w:pStyle w:val="ConsPlusNormal"/>
        <w:jc w:val="both"/>
      </w:pPr>
    </w:p>
    <w:p w:rsidR="0084797A" w:rsidRDefault="0084797A">
      <w:pPr>
        <w:pStyle w:val="ConsPlusNormal"/>
        <w:jc w:val="both"/>
      </w:pPr>
    </w:p>
    <w:p w:rsidR="0084797A" w:rsidRDefault="0084797A">
      <w:pPr>
        <w:pStyle w:val="ConsPlusNormal"/>
        <w:jc w:val="both"/>
      </w:pPr>
    </w:p>
    <w:p w:rsidR="0084797A" w:rsidRDefault="0084797A">
      <w:pPr>
        <w:pStyle w:val="ConsPlusNormal"/>
        <w:jc w:val="both"/>
      </w:pPr>
    </w:p>
    <w:p w:rsidR="0084797A" w:rsidRDefault="0084797A">
      <w:pPr>
        <w:pStyle w:val="ConsPlusNormal"/>
        <w:jc w:val="both"/>
      </w:pPr>
    </w:p>
    <w:p w:rsidR="0084797A" w:rsidRDefault="0084797A">
      <w:pPr>
        <w:pStyle w:val="ConsPlusNormal"/>
        <w:jc w:val="right"/>
        <w:outlineLvl w:val="0"/>
      </w:pPr>
      <w:r>
        <w:t>Приложение N 1</w:t>
      </w:r>
    </w:p>
    <w:p w:rsidR="0084797A" w:rsidRDefault="0084797A">
      <w:pPr>
        <w:pStyle w:val="ConsPlusNormal"/>
        <w:jc w:val="right"/>
      </w:pPr>
      <w:r>
        <w:t>к приказу Министерства</w:t>
      </w:r>
    </w:p>
    <w:p w:rsidR="0084797A" w:rsidRDefault="0084797A">
      <w:pPr>
        <w:pStyle w:val="ConsPlusNormal"/>
        <w:jc w:val="right"/>
      </w:pPr>
      <w:r>
        <w:lastRenderedPageBreak/>
        <w:t>природных ресурсов и экологии</w:t>
      </w:r>
    </w:p>
    <w:p w:rsidR="0084797A" w:rsidRDefault="0084797A">
      <w:pPr>
        <w:pStyle w:val="ConsPlusNormal"/>
        <w:jc w:val="right"/>
      </w:pPr>
      <w:r>
        <w:t>Российской Федерации</w:t>
      </w:r>
    </w:p>
    <w:p w:rsidR="0084797A" w:rsidRDefault="0084797A">
      <w:pPr>
        <w:pStyle w:val="ConsPlusNormal"/>
        <w:jc w:val="right"/>
      </w:pPr>
      <w:r>
        <w:t>от 27.01.2022 N 49</w:t>
      </w:r>
    </w:p>
    <w:p w:rsidR="0084797A" w:rsidRDefault="0084797A">
      <w:pPr>
        <w:pStyle w:val="ConsPlusNormal"/>
        <w:jc w:val="both"/>
      </w:pPr>
    </w:p>
    <w:p w:rsidR="0084797A" w:rsidRDefault="0084797A">
      <w:pPr>
        <w:pStyle w:val="ConsPlusTitle"/>
        <w:jc w:val="center"/>
      </w:pPr>
      <w:bookmarkStart w:id="1" w:name="P38"/>
      <w:bookmarkEnd w:id="1"/>
      <w:r>
        <w:t>НОРМАТИВЫ ДОПУСТИМОГО ИЗЪЯТИЯ ОХОТНИЧЬИХ РЕСУРСОВ</w:t>
      </w:r>
    </w:p>
    <w:p w:rsidR="0084797A" w:rsidRDefault="008479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797A">
        <w:tc>
          <w:tcPr>
            <w:tcW w:w="60" w:type="dxa"/>
            <w:tcBorders>
              <w:top w:val="nil"/>
              <w:left w:val="nil"/>
              <w:bottom w:val="nil"/>
              <w:right w:val="nil"/>
            </w:tcBorders>
            <w:shd w:val="clear" w:color="auto" w:fill="CED3F1"/>
            <w:tcMar>
              <w:top w:w="0" w:type="dxa"/>
              <w:left w:w="0" w:type="dxa"/>
              <w:bottom w:w="0" w:type="dxa"/>
              <w:right w:w="0" w:type="dxa"/>
            </w:tcMar>
          </w:tcPr>
          <w:p w:rsidR="0084797A" w:rsidRDefault="008479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797A" w:rsidRDefault="008479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797A" w:rsidRDefault="0084797A">
            <w:pPr>
              <w:pStyle w:val="ConsPlusNormal"/>
              <w:jc w:val="center"/>
            </w:pPr>
            <w:r>
              <w:rPr>
                <w:color w:val="392C69"/>
              </w:rPr>
              <w:t>Список изменяющих документов</w:t>
            </w:r>
          </w:p>
          <w:p w:rsidR="0084797A" w:rsidRDefault="0084797A">
            <w:pPr>
              <w:pStyle w:val="ConsPlusNormal"/>
              <w:jc w:val="center"/>
            </w:pPr>
            <w:r>
              <w:rPr>
                <w:color w:val="392C69"/>
              </w:rPr>
              <w:t xml:space="preserve">(в ред. </w:t>
            </w:r>
            <w:hyperlink r:id="rId11">
              <w:r>
                <w:rPr>
                  <w:color w:val="0000FF"/>
                </w:rPr>
                <w:t>Приказа</w:t>
              </w:r>
            </w:hyperlink>
            <w:r>
              <w:rPr>
                <w:color w:val="392C69"/>
              </w:rPr>
              <w:t xml:space="preserve"> Минприроды России от 29.09.2023 N 633)</w:t>
            </w:r>
          </w:p>
        </w:tc>
        <w:tc>
          <w:tcPr>
            <w:tcW w:w="113" w:type="dxa"/>
            <w:tcBorders>
              <w:top w:val="nil"/>
              <w:left w:val="nil"/>
              <w:bottom w:val="nil"/>
              <w:right w:val="nil"/>
            </w:tcBorders>
            <w:shd w:val="clear" w:color="auto" w:fill="F4F3F8"/>
            <w:tcMar>
              <w:top w:w="0" w:type="dxa"/>
              <w:left w:w="0" w:type="dxa"/>
              <w:bottom w:w="0" w:type="dxa"/>
              <w:right w:w="0" w:type="dxa"/>
            </w:tcMar>
          </w:tcPr>
          <w:p w:rsidR="0084797A" w:rsidRDefault="0084797A">
            <w:pPr>
              <w:pStyle w:val="ConsPlusNormal"/>
            </w:pPr>
          </w:p>
        </w:tc>
      </w:tr>
    </w:tbl>
    <w:p w:rsidR="0084797A" w:rsidRDefault="0084797A">
      <w:pPr>
        <w:pStyle w:val="ConsPlusNormal"/>
        <w:jc w:val="both"/>
      </w:pPr>
    </w:p>
    <w:p w:rsidR="0084797A" w:rsidRDefault="0084797A">
      <w:pPr>
        <w:pStyle w:val="ConsPlusTitle"/>
        <w:ind w:firstLine="540"/>
        <w:jc w:val="both"/>
        <w:outlineLvl w:val="1"/>
      </w:pPr>
      <w:r>
        <w:t>I. Нормативы допустимого изъятия охотничьих ресурсов, в отношении которых утверждается лимит добычи охотничьих ресурсов</w:t>
      </w:r>
    </w:p>
    <w:p w:rsidR="0084797A" w:rsidRDefault="0084797A">
      <w:pPr>
        <w:pStyle w:val="ConsPlusNormal"/>
        <w:jc w:val="both"/>
      </w:pPr>
      <w:r>
        <w:t xml:space="preserve">(в ред. </w:t>
      </w:r>
      <w:hyperlink r:id="rId12">
        <w:r>
          <w:rPr>
            <w:color w:val="0000FF"/>
          </w:rPr>
          <w:t>Приказа</w:t>
        </w:r>
      </w:hyperlink>
      <w:r>
        <w:t xml:space="preserve"> Минприроды России от 29.09.2023 N 633)</w:t>
      </w:r>
    </w:p>
    <w:p w:rsidR="0084797A" w:rsidRDefault="008479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50"/>
        <w:gridCol w:w="3512"/>
        <w:gridCol w:w="2702"/>
      </w:tblGrid>
      <w:tr w:rsidR="0084797A">
        <w:tc>
          <w:tcPr>
            <w:tcW w:w="2850" w:type="dxa"/>
          </w:tcPr>
          <w:p w:rsidR="0084797A" w:rsidRDefault="0084797A">
            <w:pPr>
              <w:pStyle w:val="ConsPlusNormal"/>
              <w:jc w:val="center"/>
            </w:pPr>
            <w:r>
              <w:t>Виды охотничьих ресурсов</w:t>
            </w:r>
          </w:p>
        </w:tc>
        <w:tc>
          <w:tcPr>
            <w:tcW w:w="3512" w:type="dxa"/>
          </w:tcPr>
          <w:p w:rsidR="0084797A" w:rsidRDefault="0084797A">
            <w:pPr>
              <w:pStyle w:val="ConsPlusNormal"/>
              <w:jc w:val="center"/>
            </w:pPr>
            <w:r>
              <w:t>Плотность населения вида охотничьих ресурсов (численность на 1 апреля текущего года по данным государственного мониторинга охотничьих ресурсов и среды их обитания (особей) на 1000 га площади охотничьего угодья)</w:t>
            </w:r>
          </w:p>
        </w:tc>
        <w:tc>
          <w:tcPr>
            <w:tcW w:w="2702" w:type="dxa"/>
          </w:tcPr>
          <w:p w:rsidR="0084797A" w:rsidRDefault="0084797A">
            <w:pPr>
              <w:pStyle w:val="ConsPlusNormal"/>
              <w:jc w:val="center"/>
            </w:pPr>
            <w:r>
              <w:t>Нормативы допустимого изъятия, % от численности вида охотничьих ресурсов на 1 апреля текущего года по данным государственного мониторинга охотничьих ресурсов и среды их обитания</w:t>
            </w:r>
          </w:p>
        </w:tc>
      </w:tr>
      <w:tr w:rsidR="0084797A">
        <w:tc>
          <w:tcPr>
            <w:tcW w:w="2850" w:type="dxa"/>
            <w:vMerge w:val="restart"/>
            <w:vAlign w:val="center"/>
          </w:tcPr>
          <w:p w:rsidR="0084797A" w:rsidRDefault="0084797A">
            <w:pPr>
              <w:pStyle w:val="ConsPlusNormal"/>
              <w:jc w:val="center"/>
            </w:pPr>
            <w:r>
              <w:t>Лось</w:t>
            </w:r>
          </w:p>
        </w:tc>
        <w:tc>
          <w:tcPr>
            <w:tcW w:w="3512" w:type="dxa"/>
            <w:vAlign w:val="center"/>
          </w:tcPr>
          <w:p w:rsidR="0084797A" w:rsidRDefault="0084797A">
            <w:pPr>
              <w:pStyle w:val="ConsPlusNormal"/>
              <w:jc w:val="center"/>
            </w:pPr>
            <w:r>
              <w:t>до 1 включительно</w:t>
            </w:r>
          </w:p>
        </w:tc>
        <w:tc>
          <w:tcPr>
            <w:tcW w:w="2702" w:type="dxa"/>
            <w:vAlign w:val="center"/>
          </w:tcPr>
          <w:p w:rsidR="0084797A" w:rsidRDefault="0084797A">
            <w:pPr>
              <w:pStyle w:val="ConsPlusNormal"/>
              <w:jc w:val="center"/>
            </w:pPr>
            <w:r>
              <w:t>5</w:t>
            </w:r>
          </w:p>
        </w:tc>
      </w:tr>
      <w:tr w:rsidR="0084797A">
        <w:tc>
          <w:tcPr>
            <w:tcW w:w="2850" w:type="dxa"/>
            <w:vMerge/>
          </w:tcPr>
          <w:p w:rsidR="0084797A" w:rsidRDefault="0084797A">
            <w:pPr>
              <w:pStyle w:val="ConsPlusNormal"/>
            </w:pPr>
          </w:p>
        </w:tc>
        <w:tc>
          <w:tcPr>
            <w:tcW w:w="3512" w:type="dxa"/>
            <w:vAlign w:val="center"/>
          </w:tcPr>
          <w:p w:rsidR="0084797A" w:rsidRDefault="0084797A">
            <w:pPr>
              <w:pStyle w:val="ConsPlusNormal"/>
              <w:jc w:val="center"/>
            </w:pPr>
            <w:r>
              <w:t>более 1 до 3 включительно</w:t>
            </w:r>
          </w:p>
        </w:tc>
        <w:tc>
          <w:tcPr>
            <w:tcW w:w="2702" w:type="dxa"/>
            <w:vAlign w:val="center"/>
          </w:tcPr>
          <w:p w:rsidR="0084797A" w:rsidRDefault="0084797A">
            <w:pPr>
              <w:pStyle w:val="ConsPlusNormal"/>
              <w:jc w:val="center"/>
            </w:pPr>
            <w:r>
              <w:t>8</w:t>
            </w:r>
          </w:p>
        </w:tc>
      </w:tr>
      <w:tr w:rsidR="0084797A">
        <w:tc>
          <w:tcPr>
            <w:tcW w:w="2850" w:type="dxa"/>
            <w:vMerge/>
          </w:tcPr>
          <w:p w:rsidR="0084797A" w:rsidRDefault="0084797A">
            <w:pPr>
              <w:pStyle w:val="ConsPlusNormal"/>
            </w:pPr>
          </w:p>
        </w:tc>
        <w:tc>
          <w:tcPr>
            <w:tcW w:w="3512" w:type="dxa"/>
            <w:vAlign w:val="center"/>
          </w:tcPr>
          <w:p w:rsidR="0084797A" w:rsidRDefault="0084797A">
            <w:pPr>
              <w:pStyle w:val="ConsPlusNormal"/>
              <w:jc w:val="center"/>
            </w:pPr>
            <w:r>
              <w:t>более 3 до 6 включительно</w:t>
            </w:r>
          </w:p>
        </w:tc>
        <w:tc>
          <w:tcPr>
            <w:tcW w:w="2702" w:type="dxa"/>
            <w:vAlign w:val="center"/>
          </w:tcPr>
          <w:p w:rsidR="0084797A" w:rsidRDefault="0084797A">
            <w:pPr>
              <w:pStyle w:val="ConsPlusNormal"/>
              <w:jc w:val="center"/>
            </w:pPr>
            <w:r>
              <w:t>12</w:t>
            </w:r>
          </w:p>
        </w:tc>
      </w:tr>
      <w:tr w:rsidR="0084797A">
        <w:tc>
          <w:tcPr>
            <w:tcW w:w="2850" w:type="dxa"/>
            <w:vMerge/>
          </w:tcPr>
          <w:p w:rsidR="0084797A" w:rsidRDefault="0084797A">
            <w:pPr>
              <w:pStyle w:val="ConsPlusNormal"/>
            </w:pPr>
          </w:p>
        </w:tc>
        <w:tc>
          <w:tcPr>
            <w:tcW w:w="3512" w:type="dxa"/>
            <w:vAlign w:val="center"/>
          </w:tcPr>
          <w:p w:rsidR="0084797A" w:rsidRDefault="0084797A">
            <w:pPr>
              <w:pStyle w:val="ConsPlusNormal"/>
              <w:jc w:val="center"/>
            </w:pPr>
            <w:r>
              <w:t>более 6 до 9 включительно</w:t>
            </w:r>
          </w:p>
        </w:tc>
        <w:tc>
          <w:tcPr>
            <w:tcW w:w="2702" w:type="dxa"/>
            <w:vAlign w:val="center"/>
          </w:tcPr>
          <w:p w:rsidR="0084797A" w:rsidRDefault="0084797A">
            <w:pPr>
              <w:pStyle w:val="ConsPlusNormal"/>
              <w:jc w:val="center"/>
            </w:pPr>
            <w:r>
              <w:t>15</w:t>
            </w:r>
          </w:p>
        </w:tc>
      </w:tr>
      <w:tr w:rsidR="0084797A">
        <w:tc>
          <w:tcPr>
            <w:tcW w:w="2850" w:type="dxa"/>
            <w:vMerge/>
          </w:tcPr>
          <w:p w:rsidR="0084797A" w:rsidRDefault="0084797A">
            <w:pPr>
              <w:pStyle w:val="ConsPlusNormal"/>
            </w:pPr>
          </w:p>
        </w:tc>
        <w:tc>
          <w:tcPr>
            <w:tcW w:w="3512" w:type="dxa"/>
            <w:vAlign w:val="center"/>
          </w:tcPr>
          <w:p w:rsidR="0084797A" w:rsidRDefault="0084797A">
            <w:pPr>
              <w:pStyle w:val="ConsPlusNormal"/>
              <w:jc w:val="center"/>
            </w:pPr>
            <w:r>
              <w:t>более 9 до 12 включительно</w:t>
            </w:r>
          </w:p>
        </w:tc>
        <w:tc>
          <w:tcPr>
            <w:tcW w:w="2702" w:type="dxa"/>
            <w:vAlign w:val="center"/>
          </w:tcPr>
          <w:p w:rsidR="0084797A" w:rsidRDefault="0084797A">
            <w:pPr>
              <w:pStyle w:val="ConsPlusNormal"/>
              <w:jc w:val="center"/>
            </w:pPr>
            <w:r>
              <w:t>18</w:t>
            </w:r>
          </w:p>
        </w:tc>
      </w:tr>
      <w:tr w:rsidR="0084797A">
        <w:tc>
          <w:tcPr>
            <w:tcW w:w="2850" w:type="dxa"/>
            <w:vMerge/>
          </w:tcPr>
          <w:p w:rsidR="0084797A" w:rsidRDefault="0084797A">
            <w:pPr>
              <w:pStyle w:val="ConsPlusNormal"/>
            </w:pPr>
          </w:p>
        </w:tc>
        <w:tc>
          <w:tcPr>
            <w:tcW w:w="3512" w:type="dxa"/>
            <w:vAlign w:val="center"/>
          </w:tcPr>
          <w:p w:rsidR="0084797A" w:rsidRDefault="0084797A">
            <w:pPr>
              <w:pStyle w:val="ConsPlusNormal"/>
              <w:jc w:val="center"/>
            </w:pPr>
            <w:r>
              <w:t>более 12</w:t>
            </w:r>
          </w:p>
        </w:tc>
        <w:tc>
          <w:tcPr>
            <w:tcW w:w="2702" w:type="dxa"/>
            <w:vAlign w:val="center"/>
          </w:tcPr>
          <w:p w:rsidR="0084797A" w:rsidRDefault="0084797A">
            <w:pPr>
              <w:pStyle w:val="ConsPlusNormal"/>
              <w:jc w:val="center"/>
            </w:pPr>
            <w:r>
              <w:t>20</w:t>
            </w:r>
          </w:p>
        </w:tc>
      </w:tr>
      <w:tr w:rsidR="0084797A">
        <w:tc>
          <w:tcPr>
            <w:tcW w:w="2850" w:type="dxa"/>
            <w:vMerge w:val="restart"/>
            <w:vAlign w:val="center"/>
          </w:tcPr>
          <w:p w:rsidR="0084797A" w:rsidRDefault="0084797A">
            <w:pPr>
              <w:pStyle w:val="ConsPlusNormal"/>
              <w:jc w:val="center"/>
            </w:pPr>
            <w:r>
              <w:t>Благородный олень (европейский, крымский, кавказский, марал, изюбрь), пятнистый олень, косули (европейская и сибирская), лань</w:t>
            </w:r>
          </w:p>
        </w:tc>
        <w:tc>
          <w:tcPr>
            <w:tcW w:w="3512" w:type="dxa"/>
            <w:vAlign w:val="center"/>
          </w:tcPr>
          <w:p w:rsidR="0084797A" w:rsidRDefault="0084797A">
            <w:pPr>
              <w:pStyle w:val="ConsPlusNormal"/>
              <w:jc w:val="center"/>
            </w:pPr>
            <w:r>
              <w:t>до 1 включительно</w:t>
            </w:r>
          </w:p>
        </w:tc>
        <w:tc>
          <w:tcPr>
            <w:tcW w:w="2702" w:type="dxa"/>
            <w:vAlign w:val="center"/>
          </w:tcPr>
          <w:p w:rsidR="0084797A" w:rsidRDefault="0084797A">
            <w:pPr>
              <w:pStyle w:val="ConsPlusNormal"/>
              <w:jc w:val="center"/>
            </w:pPr>
            <w:r>
              <w:t>5</w:t>
            </w:r>
          </w:p>
        </w:tc>
      </w:tr>
      <w:tr w:rsidR="0084797A">
        <w:tc>
          <w:tcPr>
            <w:tcW w:w="2850" w:type="dxa"/>
            <w:vMerge/>
          </w:tcPr>
          <w:p w:rsidR="0084797A" w:rsidRDefault="0084797A">
            <w:pPr>
              <w:pStyle w:val="ConsPlusNormal"/>
            </w:pPr>
          </w:p>
        </w:tc>
        <w:tc>
          <w:tcPr>
            <w:tcW w:w="3512" w:type="dxa"/>
            <w:vAlign w:val="center"/>
          </w:tcPr>
          <w:p w:rsidR="0084797A" w:rsidRDefault="0084797A">
            <w:pPr>
              <w:pStyle w:val="ConsPlusNormal"/>
              <w:jc w:val="center"/>
            </w:pPr>
            <w:r>
              <w:t>более 1 до 3 включительно</w:t>
            </w:r>
          </w:p>
        </w:tc>
        <w:tc>
          <w:tcPr>
            <w:tcW w:w="2702" w:type="dxa"/>
            <w:vAlign w:val="center"/>
          </w:tcPr>
          <w:p w:rsidR="0084797A" w:rsidRDefault="0084797A">
            <w:pPr>
              <w:pStyle w:val="ConsPlusNormal"/>
              <w:jc w:val="center"/>
            </w:pPr>
            <w:r>
              <w:t>8</w:t>
            </w:r>
          </w:p>
        </w:tc>
      </w:tr>
      <w:tr w:rsidR="0084797A">
        <w:tc>
          <w:tcPr>
            <w:tcW w:w="2850" w:type="dxa"/>
            <w:vMerge/>
          </w:tcPr>
          <w:p w:rsidR="0084797A" w:rsidRDefault="0084797A">
            <w:pPr>
              <w:pStyle w:val="ConsPlusNormal"/>
            </w:pPr>
          </w:p>
        </w:tc>
        <w:tc>
          <w:tcPr>
            <w:tcW w:w="3512" w:type="dxa"/>
            <w:vAlign w:val="center"/>
          </w:tcPr>
          <w:p w:rsidR="0084797A" w:rsidRDefault="0084797A">
            <w:pPr>
              <w:pStyle w:val="ConsPlusNormal"/>
              <w:jc w:val="center"/>
            </w:pPr>
            <w:r>
              <w:t>более 3 до 6 включительно</w:t>
            </w:r>
          </w:p>
        </w:tc>
        <w:tc>
          <w:tcPr>
            <w:tcW w:w="2702" w:type="dxa"/>
            <w:vAlign w:val="center"/>
          </w:tcPr>
          <w:p w:rsidR="0084797A" w:rsidRDefault="0084797A">
            <w:pPr>
              <w:pStyle w:val="ConsPlusNormal"/>
              <w:jc w:val="center"/>
            </w:pPr>
            <w:r>
              <w:t>12</w:t>
            </w:r>
          </w:p>
        </w:tc>
      </w:tr>
      <w:tr w:rsidR="0084797A">
        <w:tc>
          <w:tcPr>
            <w:tcW w:w="2850" w:type="dxa"/>
            <w:vMerge/>
          </w:tcPr>
          <w:p w:rsidR="0084797A" w:rsidRDefault="0084797A">
            <w:pPr>
              <w:pStyle w:val="ConsPlusNormal"/>
            </w:pPr>
          </w:p>
        </w:tc>
        <w:tc>
          <w:tcPr>
            <w:tcW w:w="3512" w:type="dxa"/>
            <w:vAlign w:val="center"/>
          </w:tcPr>
          <w:p w:rsidR="0084797A" w:rsidRDefault="0084797A">
            <w:pPr>
              <w:pStyle w:val="ConsPlusNormal"/>
              <w:jc w:val="center"/>
            </w:pPr>
            <w:r>
              <w:t>более 6 до 9 включительно</w:t>
            </w:r>
          </w:p>
        </w:tc>
        <w:tc>
          <w:tcPr>
            <w:tcW w:w="2702" w:type="dxa"/>
            <w:vAlign w:val="center"/>
          </w:tcPr>
          <w:p w:rsidR="0084797A" w:rsidRDefault="0084797A">
            <w:pPr>
              <w:pStyle w:val="ConsPlusNormal"/>
              <w:jc w:val="center"/>
            </w:pPr>
            <w:r>
              <w:t>15</w:t>
            </w:r>
          </w:p>
        </w:tc>
      </w:tr>
      <w:tr w:rsidR="0084797A">
        <w:tc>
          <w:tcPr>
            <w:tcW w:w="2850" w:type="dxa"/>
            <w:vMerge/>
          </w:tcPr>
          <w:p w:rsidR="0084797A" w:rsidRDefault="0084797A">
            <w:pPr>
              <w:pStyle w:val="ConsPlusNormal"/>
            </w:pPr>
          </w:p>
        </w:tc>
        <w:tc>
          <w:tcPr>
            <w:tcW w:w="3512" w:type="dxa"/>
            <w:vAlign w:val="center"/>
          </w:tcPr>
          <w:p w:rsidR="0084797A" w:rsidRDefault="0084797A">
            <w:pPr>
              <w:pStyle w:val="ConsPlusNormal"/>
              <w:jc w:val="center"/>
            </w:pPr>
            <w:r>
              <w:t>более 9 до 12 включительно</w:t>
            </w:r>
          </w:p>
        </w:tc>
        <w:tc>
          <w:tcPr>
            <w:tcW w:w="2702" w:type="dxa"/>
            <w:vAlign w:val="center"/>
          </w:tcPr>
          <w:p w:rsidR="0084797A" w:rsidRDefault="0084797A">
            <w:pPr>
              <w:pStyle w:val="ConsPlusNormal"/>
              <w:jc w:val="center"/>
            </w:pPr>
            <w:r>
              <w:t>18</w:t>
            </w:r>
          </w:p>
        </w:tc>
      </w:tr>
      <w:tr w:rsidR="0084797A">
        <w:tc>
          <w:tcPr>
            <w:tcW w:w="2850" w:type="dxa"/>
            <w:vMerge/>
          </w:tcPr>
          <w:p w:rsidR="0084797A" w:rsidRDefault="0084797A">
            <w:pPr>
              <w:pStyle w:val="ConsPlusNormal"/>
            </w:pPr>
          </w:p>
        </w:tc>
        <w:tc>
          <w:tcPr>
            <w:tcW w:w="3512" w:type="dxa"/>
            <w:vAlign w:val="center"/>
          </w:tcPr>
          <w:p w:rsidR="0084797A" w:rsidRDefault="0084797A">
            <w:pPr>
              <w:pStyle w:val="ConsPlusNormal"/>
              <w:jc w:val="center"/>
            </w:pPr>
            <w:r>
              <w:t>более 12 до 20 включительно</w:t>
            </w:r>
          </w:p>
        </w:tc>
        <w:tc>
          <w:tcPr>
            <w:tcW w:w="2702" w:type="dxa"/>
            <w:vAlign w:val="center"/>
          </w:tcPr>
          <w:p w:rsidR="0084797A" w:rsidRDefault="0084797A">
            <w:pPr>
              <w:pStyle w:val="ConsPlusNormal"/>
              <w:jc w:val="center"/>
            </w:pPr>
            <w:r>
              <w:t>25</w:t>
            </w:r>
          </w:p>
        </w:tc>
      </w:tr>
      <w:tr w:rsidR="0084797A">
        <w:tc>
          <w:tcPr>
            <w:tcW w:w="2850" w:type="dxa"/>
            <w:vMerge/>
          </w:tcPr>
          <w:p w:rsidR="0084797A" w:rsidRDefault="0084797A">
            <w:pPr>
              <w:pStyle w:val="ConsPlusNormal"/>
            </w:pPr>
          </w:p>
        </w:tc>
        <w:tc>
          <w:tcPr>
            <w:tcW w:w="3512" w:type="dxa"/>
            <w:vAlign w:val="center"/>
          </w:tcPr>
          <w:p w:rsidR="0084797A" w:rsidRDefault="0084797A">
            <w:pPr>
              <w:pStyle w:val="ConsPlusNormal"/>
              <w:jc w:val="center"/>
            </w:pPr>
            <w:r>
              <w:t>более 20</w:t>
            </w:r>
          </w:p>
        </w:tc>
        <w:tc>
          <w:tcPr>
            <w:tcW w:w="2702" w:type="dxa"/>
            <w:vAlign w:val="center"/>
          </w:tcPr>
          <w:p w:rsidR="0084797A" w:rsidRDefault="0084797A">
            <w:pPr>
              <w:pStyle w:val="ConsPlusNormal"/>
              <w:jc w:val="center"/>
            </w:pPr>
            <w:r>
              <w:t>30</w:t>
            </w:r>
          </w:p>
        </w:tc>
      </w:tr>
      <w:tr w:rsidR="0084797A">
        <w:tc>
          <w:tcPr>
            <w:tcW w:w="2850" w:type="dxa"/>
            <w:vAlign w:val="center"/>
          </w:tcPr>
          <w:p w:rsidR="0084797A" w:rsidRDefault="0084797A">
            <w:pPr>
              <w:pStyle w:val="ConsPlusNormal"/>
              <w:jc w:val="center"/>
            </w:pPr>
            <w:r>
              <w:t>Дикий северный олень</w:t>
            </w:r>
          </w:p>
        </w:tc>
        <w:tc>
          <w:tcPr>
            <w:tcW w:w="3512" w:type="dxa"/>
            <w:vAlign w:val="center"/>
          </w:tcPr>
          <w:p w:rsidR="0084797A" w:rsidRDefault="0084797A">
            <w:pPr>
              <w:pStyle w:val="ConsPlusNormal"/>
              <w:jc w:val="center"/>
            </w:pPr>
            <w:r>
              <w:t>не устанавливается</w:t>
            </w:r>
          </w:p>
        </w:tc>
        <w:tc>
          <w:tcPr>
            <w:tcW w:w="2702" w:type="dxa"/>
            <w:vAlign w:val="center"/>
          </w:tcPr>
          <w:p w:rsidR="0084797A" w:rsidRDefault="0084797A">
            <w:pPr>
              <w:pStyle w:val="ConsPlusNormal"/>
              <w:jc w:val="center"/>
            </w:pPr>
            <w:r>
              <w:t>от 3 до 15</w:t>
            </w:r>
          </w:p>
        </w:tc>
      </w:tr>
      <w:tr w:rsidR="0084797A">
        <w:tc>
          <w:tcPr>
            <w:tcW w:w="2850" w:type="dxa"/>
            <w:vAlign w:val="center"/>
          </w:tcPr>
          <w:p w:rsidR="0084797A" w:rsidRDefault="0084797A">
            <w:pPr>
              <w:pStyle w:val="ConsPlusNormal"/>
              <w:jc w:val="center"/>
            </w:pPr>
            <w:r>
              <w:t>Кабарга</w:t>
            </w:r>
          </w:p>
        </w:tc>
        <w:tc>
          <w:tcPr>
            <w:tcW w:w="3512" w:type="dxa"/>
            <w:vAlign w:val="center"/>
          </w:tcPr>
          <w:p w:rsidR="0084797A" w:rsidRDefault="0084797A">
            <w:pPr>
              <w:pStyle w:val="ConsPlusNormal"/>
              <w:jc w:val="center"/>
            </w:pPr>
            <w:r>
              <w:t>не устанавливается</w:t>
            </w:r>
          </w:p>
        </w:tc>
        <w:tc>
          <w:tcPr>
            <w:tcW w:w="2702" w:type="dxa"/>
            <w:vAlign w:val="center"/>
          </w:tcPr>
          <w:p w:rsidR="0084797A" w:rsidRDefault="0084797A">
            <w:pPr>
              <w:pStyle w:val="ConsPlusNormal"/>
              <w:jc w:val="center"/>
            </w:pPr>
            <w:r>
              <w:t>от 1 до 5</w:t>
            </w:r>
          </w:p>
        </w:tc>
      </w:tr>
      <w:tr w:rsidR="0084797A">
        <w:tc>
          <w:tcPr>
            <w:tcW w:w="2850" w:type="dxa"/>
            <w:vAlign w:val="center"/>
          </w:tcPr>
          <w:p w:rsidR="0084797A" w:rsidRDefault="0084797A">
            <w:pPr>
              <w:pStyle w:val="ConsPlusNormal"/>
              <w:jc w:val="center"/>
            </w:pPr>
            <w:r>
              <w:t xml:space="preserve">Туры, муфлон, серна, сибирский горный козел, </w:t>
            </w:r>
            <w:r>
              <w:lastRenderedPageBreak/>
              <w:t>снежный баран, овцебык</w:t>
            </w:r>
          </w:p>
        </w:tc>
        <w:tc>
          <w:tcPr>
            <w:tcW w:w="3512" w:type="dxa"/>
            <w:vAlign w:val="center"/>
          </w:tcPr>
          <w:p w:rsidR="0084797A" w:rsidRDefault="0084797A">
            <w:pPr>
              <w:pStyle w:val="ConsPlusNormal"/>
              <w:jc w:val="center"/>
            </w:pPr>
            <w:r>
              <w:lastRenderedPageBreak/>
              <w:t>не устанавливается</w:t>
            </w:r>
          </w:p>
        </w:tc>
        <w:tc>
          <w:tcPr>
            <w:tcW w:w="2702" w:type="dxa"/>
            <w:vAlign w:val="center"/>
          </w:tcPr>
          <w:p w:rsidR="0084797A" w:rsidRDefault="0084797A">
            <w:pPr>
              <w:pStyle w:val="ConsPlusNormal"/>
              <w:jc w:val="center"/>
            </w:pPr>
            <w:r>
              <w:t>от 3 до 5</w:t>
            </w:r>
          </w:p>
        </w:tc>
      </w:tr>
      <w:tr w:rsidR="0084797A">
        <w:tc>
          <w:tcPr>
            <w:tcW w:w="2850" w:type="dxa"/>
            <w:vAlign w:val="center"/>
          </w:tcPr>
          <w:p w:rsidR="0084797A" w:rsidRDefault="0084797A">
            <w:pPr>
              <w:pStyle w:val="ConsPlusNormal"/>
              <w:jc w:val="center"/>
            </w:pPr>
            <w:r>
              <w:lastRenderedPageBreak/>
              <w:t>Гибриды зубра с бизоном и домашним скотом</w:t>
            </w:r>
          </w:p>
        </w:tc>
        <w:tc>
          <w:tcPr>
            <w:tcW w:w="3512" w:type="dxa"/>
            <w:vAlign w:val="center"/>
          </w:tcPr>
          <w:p w:rsidR="0084797A" w:rsidRDefault="0084797A">
            <w:pPr>
              <w:pStyle w:val="ConsPlusNormal"/>
              <w:jc w:val="center"/>
            </w:pPr>
            <w:r>
              <w:t>не устанавливается</w:t>
            </w:r>
          </w:p>
        </w:tc>
        <w:tc>
          <w:tcPr>
            <w:tcW w:w="2702" w:type="dxa"/>
            <w:vAlign w:val="center"/>
          </w:tcPr>
          <w:p w:rsidR="0084797A" w:rsidRDefault="0084797A">
            <w:pPr>
              <w:pStyle w:val="ConsPlusNormal"/>
              <w:jc w:val="center"/>
            </w:pPr>
            <w:r>
              <w:t>от 3 до 20</w:t>
            </w:r>
          </w:p>
        </w:tc>
      </w:tr>
      <w:tr w:rsidR="0084797A">
        <w:tc>
          <w:tcPr>
            <w:tcW w:w="2850" w:type="dxa"/>
            <w:vAlign w:val="center"/>
          </w:tcPr>
          <w:p w:rsidR="0084797A" w:rsidRDefault="0084797A">
            <w:pPr>
              <w:pStyle w:val="ConsPlusNormal"/>
              <w:jc w:val="center"/>
            </w:pPr>
            <w:r>
              <w:t>Бурый медведь</w:t>
            </w:r>
          </w:p>
        </w:tc>
        <w:tc>
          <w:tcPr>
            <w:tcW w:w="3512" w:type="dxa"/>
            <w:vAlign w:val="center"/>
          </w:tcPr>
          <w:p w:rsidR="0084797A" w:rsidRDefault="0084797A">
            <w:pPr>
              <w:pStyle w:val="ConsPlusNormal"/>
              <w:jc w:val="center"/>
            </w:pPr>
            <w:r>
              <w:t>не устанавливается</w:t>
            </w:r>
          </w:p>
        </w:tc>
        <w:tc>
          <w:tcPr>
            <w:tcW w:w="2702" w:type="dxa"/>
            <w:vAlign w:val="center"/>
          </w:tcPr>
          <w:p w:rsidR="0084797A" w:rsidRDefault="0084797A">
            <w:pPr>
              <w:pStyle w:val="ConsPlusNormal"/>
              <w:jc w:val="center"/>
            </w:pPr>
            <w:r>
              <w:t>от 5 до 30</w:t>
            </w:r>
          </w:p>
        </w:tc>
      </w:tr>
      <w:tr w:rsidR="0084797A">
        <w:tc>
          <w:tcPr>
            <w:tcW w:w="2850" w:type="dxa"/>
            <w:vAlign w:val="center"/>
          </w:tcPr>
          <w:p w:rsidR="0084797A" w:rsidRDefault="0084797A">
            <w:pPr>
              <w:pStyle w:val="ConsPlusNormal"/>
              <w:jc w:val="center"/>
            </w:pPr>
            <w:r>
              <w:t>Белогрудый медведь</w:t>
            </w:r>
          </w:p>
        </w:tc>
        <w:tc>
          <w:tcPr>
            <w:tcW w:w="3512" w:type="dxa"/>
            <w:vAlign w:val="center"/>
          </w:tcPr>
          <w:p w:rsidR="0084797A" w:rsidRDefault="0084797A">
            <w:pPr>
              <w:pStyle w:val="ConsPlusNormal"/>
              <w:jc w:val="center"/>
            </w:pPr>
            <w:r>
              <w:t>не устанавливается</w:t>
            </w:r>
          </w:p>
        </w:tc>
        <w:tc>
          <w:tcPr>
            <w:tcW w:w="2702" w:type="dxa"/>
            <w:vAlign w:val="center"/>
          </w:tcPr>
          <w:p w:rsidR="0084797A" w:rsidRDefault="0084797A">
            <w:pPr>
              <w:pStyle w:val="ConsPlusNormal"/>
              <w:jc w:val="center"/>
            </w:pPr>
            <w:r>
              <w:t>от 3 до 10</w:t>
            </w:r>
          </w:p>
        </w:tc>
      </w:tr>
      <w:tr w:rsidR="0084797A">
        <w:tc>
          <w:tcPr>
            <w:tcW w:w="2850" w:type="dxa"/>
            <w:vAlign w:val="center"/>
          </w:tcPr>
          <w:p w:rsidR="0084797A" w:rsidRDefault="0084797A">
            <w:pPr>
              <w:pStyle w:val="ConsPlusNormal"/>
              <w:jc w:val="center"/>
            </w:pPr>
            <w:r>
              <w:t>Соболь</w:t>
            </w:r>
          </w:p>
        </w:tc>
        <w:tc>
          <w:tcPr>
            <w:tcW w:w="3512" w:type="dxa"/>
            <w:vAlign w:val="center"/>
          </w:tcPr>
          <w:p w:rsidR="0084797A" w:rsidRDefault="0084797A">
            <w:pPr>
              <w:pStyle w:val="ConsPlusNormal"/>
              <w:jc w:val="center"/>
            </w:pPr>
            <w:r>
              <w:t>не устанавливается</w:t>
            </w:r>
          </w:p>
        </w:tc>
        <w:tc>
          <w:tcPr>
            <w:tcW w:w="2702" w:type="dxa"/>
            <w:vAlign w:val="center"/>
          </w:tcPr>
          <w:p w:rsidR="0084797A" w:rsidRDefault="0084797A">
            <w:pPr>
              <w:pStyle w:val="ConsPlusNormal"/>
              <w:jc w:val="center"/>
            </w:pPr>
            <w:r>
              <w:t>от 15 до 35</w:t>
            </w:r>
          </w:p>
        </w:tc>
      </w:tr>
      <w:tr w:rsidR="0084797A">
        <w:tc>
          <w:tcPr>
            <w:tcW w:w="2850" w:type="dxa"/>
            <w:vAlign w:val="center"/>
          </w:tcPr>
          <w:p w:rsidR="0084797A" w:rsidRDefault="0084797A">
            <w:pPr>
              <w:pStyle w:val="ConsPlusNormal"/>
              <w:jc w:val="center"/>
            </w:pPr>
            <w:r>
              <w:t>Барсук</w:t>
            </w:r>
          </w:p>
        </w:tc>
        <w:tc>
          <w:tcPr>
            <w:tcW w:w="3512" w:type="dxa"/>
            <w:vAlign w:val="center"/>
          </w:tcPr>
          <w:p w:rsidR="0084797A" w:rsidRDefault="0084797A">
            <w:pPr>
              <w:pStyle w:val="ConsPlusNormal"/>
              <w:jc w:val="center"/>
            </w:pPr>
            <w:r>
              <w:t>не устанавливается</w:t>
            </w:r>
          </w:p>
        </w:tc>
        <w:tc>
          <w:tcPr>
            <w:tcW w:w="2702" w:type="dxa"/>
            <w:vAlign w:val="center"/>
          </w:tcPr>
          <w:p w:rsidR="0084797A" w:rsidRDefault="0084797A">
            <w:pPr>
              <w:pStyle w:val="ConsPlusNormal"/>
              <w:jc w:val="center"/>
            </w:pPr>
            <w:r>
              <w:t>от 3 до 10</w:t>
            </w:r>
          </w:p>
        </w:tc>
      </w:tr>
      <w:tr w:rsidR="0084797A">
        <w:tc>
          <w:tcPr>
            <w:tcW w:w="2850" w:type="dxa"/>
            <w:vAlign w:val="center"/>
          </w:tcPr>
          <w:p w:rsidR="0084797A" w:rsidRDefault="0084797A">
            <w:pPr>
              <w:pStyle w:val="ConsPlusNormal"/>
              <w:jc w:val="center"/>
            </w:pPr>
            <w:r>
              <w:t>Выдра</w:t>
            </w:r>
          </w:p>
        </w:tc>
        <w:tc>
          <w:tcPr>
            <w:tcW w:w="3512" w:type="dxa"/>
            <w:vAlign w:val="center"/>
          </w:tcPr>
          <w:p w:rsidR="0084797A" w:rsidRDefault="0084797A">
            <w:pPr>
              <w:pStyle w:val="ConsPlusNormal"/>
              <w:jc w:val="center"/>
            </w:pPr>
            <w:r>
              <w:t>не устанавливается</w:t>
            </w:r>
          </w:p>
        </w:tc>
        <w:tc>
          <w:tcPr>
            <w:tcW w:w="2702" w:type="dxa"/>
            <w:vAlign w:val="center"/>
          </w:tcPr>
          <w:p w:rsidR="0084797A" w:rsidRDefault="0084797A">
            <w:pPr>
              <w:pStyle w:val="ConsPlusNormal"/>
              <w:jc w:val="center"/>
            </w:pPr>
            <w:r>
              <w:t>от 3 до 5</w:t>
            </w:r>
          </w:p>
        </w:tc>
      </w:tr>
      <w:tr w:rsidR="0084797A">
        <w:tc>
          <w:tcPr>
            <w:tcW w:w="2850" w:type="dxa"/>
            <w:vAlign w:val="center"/>
          </w:tcPr>
          <w:p w:rsidR="0084797A" w:rsidRDefault="0084797A">
            <w:pPr>
              <w:pStyle w:val="ConsPlusNormal"/>
              <w:jc w:val="center"/>
            </w:pPr>
            <w:r>
              <w:t>Рысь</w:t>
            </w:r>
          </w:p>
        </w:tc>
        <w:tc>
          <w:tcPr>
            <w:tcW w:w="3512" w:type="dxa"/>
            <w:vAlign w:val="center"/>
          </w:tcPr>
          <w:p w:rsidR="0084797A" w:rsidRDefault="0084797A">
            <w:pPr>
              <w:pStyle w:val="ConsPlusNormal"/>
              <w:jc w:val="center"/>
            </w:pPr>
            <w:r>
              <w:t>не устанавливается</w:t>
            </w:r>
          </w:p>
        </w:tc>
        <w:tc>
          <w:tcPr>
            <w:tcW w:w="2702" w:type="dxa"/>
            <w:vAlign w:val="center"/>
          </w:tcPr>
          <w:p w:rsidR="0084797A" w:rsidRDefault="0084797A">
            <w:pPr>
              <w:pStyle w:val="ConsPlusNormal"/>
              <w:jc w:val="center"/>
            </w:pPr>
            <w:r>
              <w:t>от 3 до 10</w:t>
            </w:r>
          </w:p>
        </w:tc>
      </w:tr>
    </w:tbl>
    <w:p w:rsidR="0084797A" w:rsidRDefault="0084797A">
      <w:pPr>
        <w:pStyle w:val="ConsPlusNormal"/>
        <w:jc w:val="both"/>
      </w:pPr>
    </w:p>
    <w:p w:rsidR="0084797A" w:rsidRDefault="0084797A">
      <w:pPr>
        <w:pStyle w:val="ConsPlusNormal"/>
        <w:jc w:val="both"/>
      </w:pPr>
      <w:r>
        <w:t xml:space="preserve">(таблица в ред. </w:t>
      </w:r>
      <w:hyperlink r:id="rId13">
        <w:r>
          <w:rPr>
            <w:color w:val="0000FF"/>
          </w:rPr>
          <w:t>Приказа</w:t>
        </w:r>
      </w:hyperlink>
      <w:r>
        <w:t xml:space="preserve"> Минприроды России от 29.09.2023 N 633)</w:t>
      </w:r>
    </w:p>
    <w:p w:rsidR="0084797A" w:rsidRDefault="0084797A">
      <w:pPr>
        <w:pStyle w:val="ConsPlusNormal"/>
        <w:jc w:val="both"/>
      </w:pPr>
    </w:p>
    <w:p w:rsidR="0084797A" w:rsidRDefault="0084797A">
      <w:pPr>
        <w:pStyle w:val="ConsPlusNormal"/>
        <w:ind w:firstLine="540"/>
        <w:jc w:val="both"/>
      </w:pPr>
      <w:r>
        <w:t>Для охотничьих угодий, участков охотничьих угодий (в случае, если охотничье угодье состоит из нескольких участков, не имеющих общих границ), иных территорий, являющихся средой обитания охотничьих ресурсов, но не являющихся охотничьими угодьями (далее - иные территории), участков иных территорий (в случае, если иная территория состоит из нескольких участков, не имеющих общих границ), площадь которых не превышает 8 тыс. га, а плотность населения вида охотничьих ресурсов: лося, благородного оленя (европейского, крымского, кавказского, марала, изюбря), пятнистого оленя, косуль (европейской и сибирской), лани по данным государственного мониторинга охотничьих ресурсов и среды их обитания на 1 апреля текущего года, не превышает 7 особей на 1000 га площади охотничьих угодий, норматив допустимого изъятия лося, благородного оленя (европейского, крымского, кавказского, марала, изюбря), пятнистого оленя, косуль (европейской и сибирской), лани составляет 0%.</w:t>
      </w:r>
    </w:p>
    <w:p w:rsidR="0084797A" w:rsidRDefault="0084797A">
      <w:pPr>
        <w:pStyle w:val="ConsPlusNormal"/>
        <w:spacing w:before="220"/>
        <w:ind w:firstLine="540"/>
        <w:jc w:val="both"/>
      </w:pPr>
      <w:r>
        <w:t>Норматив допустимого изъятия копытных животных в возрасте до 1 года, без разделения по половому признаку, устанавливается для видов охотничьих ресурсов: лось, благородный олень (европейский, крымский, кавказский, марал, изюбрь), лань, пятнистый олень, дикий северный олень - не менее 20% от квоты добычи, косули (европейская и сибирская) - не менее 30% от квоты добычи.</w:t>
      </w:r>
    </w:p>
    <w:p w:rsidR="0084797A" w:rsidRDefault="0084797A">
      <w:pPr>
        <w:pStyle w:val="ConsPlusNormal"/>
        <w:spacing w:before="220"/>
        <w:ind w:firstLine="540"/>
        <w:jc w:val="both"/>
      </w:pPr>
      <w:r>
        <w:t>Норматив допустимого изъятия взрослых самцов для видов охотничьих ресурсов: лось, благородный олень (европейский, крымский, кавказский, марал, изюбрь), лань, пятнистый олень, косули (европейская и сибирская) во время гона, с неокостеневшими рогами (самцов марала, изюбря, пятнистого оленя) устанавливается не более 15% от квоты добычи.</w:t>
      </w:r>
    </w:p>
    <w:p w:rsidR="0084797A" w:rsidRDefault="0084797A">
      <w:pPr>
        <w:pStyle w:val="ConsPlusNormal"/>
        <w:jc w:val="both"/>
      </w:pPr>
      <w:r>
        <w:t xml:space="preserve">(в ред. </w:t>
      </w:r>
      <w:hyperlink r:id="rId14">
        <w:r>
          <w:rPr>
            <w:color w:val="0000FF"/>
          </w:rPr>
          <w:t>Приказа</w:t>
        </w:r>
      </w:hyperlink>
      <w:r>
        <w:t xml:space="preserve"> Минприроды России от 29.09.2023 N 633)</w:t>
      </w:r>
    </w:p>
    <w:p w:rsidR="0084797A" w:rsidRDefault="0084797A">
      <w:pPr>
        <w:pStyle w:val="ConsPlusNormal"/>
        <w:spacing w:before="220"/>
        <w:ind w:firstLine="540"/>
        <w:jc w:val="both"/>
      </w:pPr>
      <w:r>
        <w:t>Норматив допустимого изъятия самцов кабарги устанавливается не более 75% от квоты добычи.</w:t>
      </w:r>
    </w:p>
    <w:p w:rsidR="0084797A" w:rsidRDefault="0084797A">
      <w:pPr>
        <w:pStyle w:val="ConsPlusNormal"/>
        <w:jc w:val="both"/>
      </w:pPr>
    </w:p>
    <w:p w:rsidR="0084797A" w:rsidRDefault="0084797A">
      <w:pPr>
        <w:pStyle w:val="ConsPlusTitle"/>
        <w:jc w:val="center"/>
        <w:outlineLvl w:val="1"/>
      </w:pPr>
      <w:r>
        <w:t>II. Нормативы допустимого изъятия охотничьих ресурсов,</w:t>
      </w:r>
    </w:p>
    <w:p w:rsidR="0084797A" w:rsidRDefault="0084797A">
      <w:pPr>
        <w:pStyle w:val="ConsPlusTitle"/>
        <w:jc w:val="center"/>
      </w:pPr>
      <w:proofErr w:type="gramStart"/>
      <w:r>
        <w:t>добыча</w:t>
      </w:r>
      <w:proofErr w:type="gramEnd"/>
      <w:r>
        <w:t xml:space="preserve"> которых осуществляется без утверждения лимита добычи</w:t>
      </w:r>
    </w:p>
    <w:p w:rsidR="0084797A" w:rsidRDefault="0084797A">
      <w:pPr>
        <w:pStyle w:val="ConsPlusTitle"/>
        <w:jc w:val="center"/>
      </w:pPr>
      <w:r>
        <w:t>охотничьих ресурсов</w:t>
      </w:r>
    </w:p>
    <w:p w:rsidR="0084797A" w:rsidRDefault="008479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72"/>
        <w:gridCol w:w="5993"/>
      </w:tblGrid>
      <w:tr w:rsidR="0084797A">
        <w:tc>
          <w:tcPr>
            <w:tcW w:w="3072" w:type="dxa"/>
          </w:tcPr>
          <w:p w:rsidR="0084797A" w:rsidRDefault="0084797A">
            <w:pPr>
              <w:pStyle w:val="ConsPlusNormal"/>
              <w:jc w:val="center"/>
            </w:pPr>
            <w:r>
              <w:t>Виды (группы видов) охотничьих ресурсов</w:t>
            </w:r>
          </w:p>
        </w:tc>
        <w:tc>
          <w:tcPr>
            <w:tcW w:w="5993" w:type="dxa"/>
          </w:tcPr>
          <w:p w:rsidR="0084797A" w:rsidRDefault="0084797A">
            <w:pPr>
              <w:pStyle w:val="ConsPlusNormal"/>
              <w:jc w:val="center"/>
            </w:pPr>
            <w:r>
              <w:t>Нормативы допустимого изъятия, % от численности вида охотничьих ресурсов на 1 апреля текущего года по данным государственного мониторинга охотничьих ресурсов и среды их обитания текущего года</w:t>
            </w:r>
          </w:p>
        </w:tc>
      </w:tr>
      <w:tr w:rsidR="0084797A">
        <w:tc>
          <w:tcPr>
            <w:tcW w:w="3072" w:type="dxa"/>
            <w:vAlign w:val="center"/>
          </w:tcPr>
          <w:p w:rsidR="0084797A" w:rsidRDefault="0084797A">
            <w:pPr>
              <w:pStyle w:val="ConsPlusNormal"/>
              <w:jc w:val="center"/>
            </w:pPr>
            <w:r>
              <w:lastRenderedPageBreak/>
              <w:t>Росомаха</w:t>
            </w:r>
          </w:p>
        </w:tc>
        <w:tc>
          <w:tcPr>
            <w:tcW w:w="5993" w:type="dxa"/>
            <w:vAlign w:val="center"/>
          </w:tcPr>
          <w:p w:rsidR="0084797A" w:rsidRDefault="0084797A">
            <w:pPr>
              <w:pStyle w:val="ConsPlusNormal"/>
              <w:jc w:val="center"/>
            </w:pPr>
            <w:r>
              <w:t>до 10</w:t>
            </w:r>
          </w:p>
        </w:tc>
      </w:tr>
      <w:tr w:rsidR="0084797A">
        <w:tc>
          <w:tcPr>
            <w:tcW w:w="3072" w:type="dxa"/>
            <w:vAlign w:val="center"/>
          </w:tcPr>
          <w:p w:rsidR="0084797A" w:rsidRDefault="0084797A">
            <w:pPr>
              <w:pStyle w:val="ConsPlusNormal"/>
              <w:jc w:val="center"/>
            </w:pPr>
            <w:r>
              <w:t>Куницы</w:t>
            </w:r>
          </w:p>
        </w:tc>
        <w:tc>
          <w:tcPr>
            <w:tcW w:w="5993" w:type="dxa"/>
            <w:vAlign w:val="center"/>
          </w:tcPr>
          <w:p w:rsidR="0084797A" w:rsidRDefault="0084797A">
            <w:pPr>
              <w:pStyle w:val="ConsPlusNormal"/>
              <w:jc w:val="center"/>
            </w:pPr>
            <w:r>
              <w:t>до 35</w:t>
            </w:r>
          </w:p>
        </w:tc>
      </w:tr>
      <w:tr w:rsidR="0084797A">
        <w:tc>
          <w:tcPr>
            <w:tcW w:w="3072" w:type="dxa"/>
            <w:vAlign w:val="center"/>
          </w:tcPr>
          <w:p w:rsidR="0084797A" w:rsidRDefault="0084797A">
            <w:pPr>
              <w:pStyle w:val="ConsPlusNormal"/>
              <w:jc w:val="center"/>
            </w:pPr>
            <w:proofErr w:type="spellStart"/>
            <w:r>
              <w:t>Харза</w:t>
            </w:r>
            <w:proofErr w:type="spellEnd"/>
          </w:p>
        </w:tc>
        <w:tc>
          <w:tcPr>
            <w:tcW w:w="5993" w:type="dxa"/>
            <w:vAlign w:val="center"/>
          </w:tcPr>
          <w:p w:rsidR="0084797A" w:rsidRDefault="0084797A">
            <w:pPr>
              <w:pStyle w:val="ConsPlusNormal"/>
              <w:jc w:val="center"/>
            </w:pPr>
            <w:r>
              <w:t>до 35</w:t>
            </w:r>
          </w:p>
        </w:tc>
      </w:tr>
      <w:tr w:rsidR="0084797A">
        <w:tc>
          <w:tcPr>
            <w:tcW w:w="3072" w:type="dxa"/>
            <w:vAlign w:val="center"/>
          </w:tcPr>
          <w:p w:rsidR="0084797A" w:rsidRDefault="0084797A">
            <w:pPr>
              <w:pStyle w:val="ConsPlusNormal"/>
              <w:jc w:val="center"/>
            </w:pPr>
            <w:r>
              <w:t>Дикие кошки</w:t>
            </w:r>
          </w:p>
        </w:tc>
        <w:tc>
          <w:tcPr>
            <w:tcW w:w="5993" w:type="dxa"/>
            <w:vAlign w:val="center"/>
          </w:tcPr>
          <w:p w:rsidR="0084797A" w:rsidRDefault="0084797A">
            <w:pPr>
              <w:pStyle w:val="ConsPlusNormal"/>
              <w:jc w:val="center"/>
            </w:pPr>
            <w:r>
              <w:t>до 15</w:t>
            </w:r>
          </w:p>
        </w:tc>
      </w:tr>
      <w:tr w:rsidR="0084797A">
        <w:tc>
          <w:tcPr>
            <w:tcW w:w="3072" w:type="dxa"/>
            <w:vAlign w:val="center"/>
          </w:tcPr>
          <w:p w:rsidR="0084797A" w:rsidRDefault="0084797A">
            <w:pPr>
              <w:pStyle w:val="ConsPlusNormal"/>
              <w:jc w:val="center"/>
            </w:pPr>
            <w:r>
              <w:t>Бобры</w:t>
            </w:r>
          </w:p>
        </w:tc>
        <w:tc>
          <w:tcPr>
            <w:tcW w:w="5993" w:type="dxa"/>
            <w:vAlign w:val="center"/>
          </w:tcPr>
          <w:p w:rsidR="0084797A" w:rsidRDefault="0084797A">
            <w:pPr>
              <w:pStyle w:val="ConsPlusNormal"/>
              <w:jc w:val="center"/>
            </w:pPr>
            <w:r>
              <w:t>до 50</w:t>
            </w:r>
          </w:p>
        </w:tc>
      </w:tr>
      <w:tr w:rsidR="0084797A">
        <w:tc>
          <w:tcPr>
            <w:tcW w:w="3072" w:type="dxa"/>
            <w:vAlign w:val="center"/>
          </w:tcPr>
          <w:p w:rsidR="0084797A" w:rsidRDefault="0084797A">
            <w:pPr>
              <w:pStyle w:val="ConsPlusNormal"/>
              <w:jc w:val="center"/>
            </w:pPr>
            <w:r>
              <w:t>Сурки</w:t>
            </w:r>
          </w:p>
        </w:tc>
        <w:tc>
          <w:tcPr>
            <w:tcW w:w="5993" w:type="dxa"/>
            <w:vAlign w:val="center"/>
          </w:tcPr>
          <w:p w:rsidR="0084797A" w:rsidRDefault="0084797A">
            <w:pPr>
              <w:pStyle w:val="ConsPlusNormal"/>
              <w:jc w:val="center"/>
            </w:pPr>
            <w:r>
              <w:t>до 20</w:t>
            </w:r>
          </w:p>
        </w:tc>
      </w:tr>
      <w:tr w:rsidR="0084797A">
        <w:tc>
          <w:tcPr>
            <w:tcW w:w="3072" w:type="dxa"/>
            <w:vAlign w:val="center"/>
          </w:tcPr>
          <w:p w:rsidR="0084797A" w:rsidRDefault="0084797A">
            <w:pPr>
              <w:pStyle w:val="ConsPlusNormal"/>
              <w:jc w:val="center"/>
            </w:pPr>
            <w:r>
              <w:t>Глухарь обыкновенный</w:t>
            </w:r>
          </w:p>
        </w:tc>
        <w:tc>
          <w:tcPr>
            <w:tcW w:w="5993" w:type="dxa"/>
            <w:vAlign w:val="center"/>
          </w:tcPr>
          <w:p w:rsidR="0084797A" w:rsidRDefault="0084797A">
            <w:pPr>
              <w:pStyle w:val="ConsPlusNormal"/>
              <w:jc w:val="center"/>
            </w:pPr>
            <w:r>
              <w:t>до 10</w:t>
            </w:r>
          </w:p>
          <w:p w:rsidR="0084797A" w:rsidRDefault="0084797A">
            <w:pPr>
              <w:pStyle w:val="ConsPlusNormal"/>
              <w:jc w:val="center"/>
            </w:pPr>
            <w:r>
              <w:t>(устанавливается только в сроки весенней охоты)</w:t>
            </w:r>
          </w:p>
        </w:tc>
      </w:tr>
      <w:tr w:rsidR="0084797A">
        <w:tc>
          <w:tcPr>
            <w:tcW w:w="3072" w:type="dxa"/>
            <w:vAlign w:val="center"/>
          </w:tcPr>
          <w:p w:rsidR="0084797A" w:rsidRDefault="0084797A">
            <w:pPr>
              <w:pStyle w:val="ConsPlusNormal"/>
              <w:jc w:val="center"/>
            </w:pPr>
            <w:r>
              <w:t>Тетерев обыкновенный</w:t>
            </w:r>
          </w:p>
        </w:tc>
        <w:tc>
          <w:tcPr>
            <w:tcW w:w="5993" w:type="dxa"/>
            <w:vAlign w:val="center"/>
          </w:tcPr>
          <w:p w:rsidR="0084797A" w:rsidRDefault="0084797A">
            <w:pPr>
              <w:pStyle w:val="ConsPlusNormal"/>
              <w:jc w:val="center"/>
            </w:pPr>
            <w:r>
              <w:t>до 10</w:t>
            </w:r>
          </w:p>
          <w:p w:rsidR="0084797A" w:rsidRDefault="0084797A">
            <w:pPr>
              <w:pStyle w:val="ConsPlusNormal"/>
              <w:jc w:val="center"/>
            </w:pPr>
            <w:r>
              <w:t>(устанавливается только в сроки весенней охоты)</w:t>
            </w:r>
          </w:p>
        </w:tc>
      </w:tr>
    </w:tbl>
    <w:p w:rsidR="0084797A" w:rsidRDefault="0084797A">
      <w:pPr>
        <w:pStyle w:val="ConsPlusNormal"/>
        <w:jc w:val="both"/>
      </w:pPr>
    </w:p>
    <w:p w:rsidR="0084797A" w:rsidRDefault="0084797A">
      <w:pPr>
        <w:pStyle w:val="ConsPlusNormal"/>
        <w:ind w:firstLine="540"/>
        <w:jc w:val="both"/>
      </w:pPr>
      <w:r>
        <w:t>Для остальных охотничьих ресурсов, добыча которых осуществляется без утверждения лимита добычи, нормативы допустимого изъятия не устанавливаются.</w:t>
      </w:r>
    </w:p>
    <w:p w:rsidR="0084797A" w:rsidRDefault="0084797A">
      <w:pPr>
        <w:pStyle w:val="ConsPlusNormal"/>
        <w:jc w:val="both"/>
      </w:pPr>
    </w:p>
    <w:p w:rsidR="0084797A" w:rsidRDefault="0084797A">
      <w:pPr>
        <w:pStyle w:val="ConsPlusNormal"/>
        <w:jc w:val="both"/>
      </w:pPr>
    </w:p>
    <w:p w:rsidR="0084797A" w:rsidRDefault="0084797A">
      <w:pPr>
        <w:pStyle w:val="ConsPlusNormal"/>
        <w:jc w:val="both"/>
      </w:pPr>
    </w:p>
    <w:p w:rsidR="0084797A" w:rsidRDefault="0084797A">
      <w:pPr>
        <w:pStyle w:val="ConsPlusNormal"/>
        <w:jc w:val="both"/>
      </w:pPr>
    </w:p>
    <w:p w:rsidR="0084797A" w:rsidRDefault="0084797A">
      <w:pPr>
        <w:pStyle w:val="ConsPlusNormal"/>
        <w:jc w:val="both"/>
      </w:pPr>
    </w:p>
    <w:p w:rsidR="0084797A" w:rsidRDefault="0084797A">
      <w:pPr>
        <w:pStyle w:val="ConsPlusNormal"/>
        <w:jc w:val="right"/>
        <w:outlineLvl w:val="0"/>
      </w:pPr>
      <w:r>
        <w:t>Приложение N 2</w:t>
      </w:r>
    </w:p>
    <w:p w:rsidR="0084797A" w:rsidRDefault="0084797A">
      <w:pPr>
        <w:pStyle w:val="ConsPlusNormal"/>
        <w:jc w:val="right"/>
      </w:pPr>
      <w:r>
        <w:t>к приказу Министерства</w:t>
      </w:r>
    </w:p>
    <w:p w:rsidR="0084797A" w:rsidRDefault="0084797A">
      <w:pPr>
        <w:pStyle w:val="ConsPlusNormal"/>
        <w:jc w:val="right"/>
      </w:pPr>
      <w:r>
        <w:t>природных ресурсов и экологии</w:t>
      </w:r>
    </w:p>
    <w:p w:rsidR="0084797A" w:rsidRDefault="0084797A">
      <w:pPr>
        <w:pStyle w:val="ConsPlusNormal"/>
        <w:jc w:val="right"/>
      </w:pPr>
      <w:r>
        <w:t>Российской Федерации</w:t>
      </w:r>
    </w:p>
    <w:p w:rsidR="0084797A" w:rsidRDefault="0084797A">
      <w:pPr>
        <w:pStyle w:val="ConsPlusNormal"/>
        <w:jc w:val="right"/>
      </w:pPr>
      <w:r>
        <w:t>от 27.01.2022 N 49</w:t>
      </w:r>
    </w:p>
    <w:p w:rsidR="0084797A" w:rsidRDefault="0084797A">
      <w:pPr>
        <w:pStyle w:val="ConsPlusNormal"/>
        <w:jc w:val="both"/>
      </w:pPr>
    </w:p>
    <w:p w:rsidR="0084797A" w:rsidRDefault="0084797A">
      <w:pPr>
        <w:pStyle w:val="ConsPlusTitle"/>
        <w:jc w:val="center"/>
      </w:pPr>
      <w:bookmarkStart w:id="2" w:name="P152"/>
      <w:bookmarkEnd w:id="2"/>
      <w:r>
        <w:t>НОРМАТИВЫ БИОТЕХНИЧЕСКИХ МЕРОПРИЯТИЙ</w:t>
      </w:r>
    </w:p>
    <w:p w:rsidR="0084797A" w:rsidRDefault="0084797A">
      <w:pPr>
        <w:pStyle w:val="ConsPlusNormal"/>
        <w:jc w:val="both"/>
      </w:pPr>
    </w:p>
    <w:p w:rsidR="0084797A" w:rsidRDefault="0084797A">
      <w:pPr>
        <w:pStyle w:val="ConsPlusNormal"/>
        <w:ind w:firstLine="540"/>
        <w:jc w:val="both"/>
      </w:pPr>
      <w:r>
        <w:t xml:space="preserve">1. Нормативы объемов биотехнических мероприятий в закрепленных охотничьих угодьях определяются юридическими лицами и индивидуальными предпринимателями, заключившими </w:t>
      </w:r>
      <w:proofErr w:type="spellStart"/>
      <w:r>
        <w:t>охотхозяйственные</w:t>
      </w:r>
      <w:proofErr w:type="spellEnd"/>
      <w:r>
        <w:t xml:space="preserve"> соглашения, или у которых право долгосрочного пользования животным миром возникло на основании долгосрочных лицензий на пользование объектами животного мира &lt;1&gt;.</w:t>
      </w:r>
    </w:p>
    <w:p w:rsidR="0084797A" w:rsidRDefault="0084797A">
      <w:pPr>
        <w:pStyle w:val="ConsPlusNormal"/>
        <w:spacing w:before="220"/>
        <w:ind w:firstLine="540"/>
        <w:jc w:val="both"/>
      </w:pPr>
      <w:r>
        <w:t>--------------------------------</w:t>
      </w:r>
    </w:p>
    <w:p w:rsidR="0084797A" w:rsidRDefault="0084797A">
      <w:pPr>
        <w:pStyle w:val="ConsPlusNormal"/>
        <w:spacing w:before="220"/>
        <w:ind w:firstLine="540"/>
        <w:jc w:val="both"/>
      </w:pPr>
      <w:r>
        <w:t xml:space="preserve">&lt;1&gt; </w:t>
      </w:r>
      <w:hyperlink r:id="rId15">
        <w:r>
          <w:rPr>
            <w:color w:val="0000FF"/>
          </w:rPr>
          <w:t>Пункт 5</w:t>
        </w:r>
      </w:hyperlink>
      <w:r>
        <w:t xml:space="preserve"> видов и состава биотехнических мероприятий, а также порядка их проведения в целях сохранения охотничьих ресурсов, утвержденных приказом Министерства природных ресурсов и экологии Российской Федерации от 24 декабря 2010 г. N 560 (зарегистрирован Министерством юстиции Российской Федерации 28 января 2011 г., регистрационный N 19613), с изменениями, внесенными приказом Министерства природных ресурсов и экологии Российской Федерации от 25 сентября 2020 г. N 730 (зарегистрирован Министерством юстиции Российской Федерации 2 ноября 2020 г., регистрационный N 60703).</w:t>
      </w:r>
    </w:p>
    <w:p w:rsidR="0084797A" w:rsidRDefault="0084797A">
      <w:pPr>
        <w:pStyle w:val="ConsPlusNormal"/>
        <w:jc w:val="both"/>
      </w:pPr>
    </w:p>
    <w:p w:rsidR="0084797A" w:rsidRDefault="0084797A">
      <w:pPr>
        <w:pStyle w:val="ConsPlusNormal"/>
        <w:ind w:firstLine="540"/>
        <w:jc w:val="both"/>
      </w:pPr>
      <w:r>
        <w:t>2. Нормативы объемов биотехнических мероприятий в общедоступных охотничьих угодьях определяются уполномоченным в области охоты и сохранения охотничьих ресурсов органом исполнительной власти субъекта Российской Федерации в схеме размещения, использования и охраны охотничьих угодий на территории субъекта Российской Федерации, утвержденной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&lt;2&gt;.</w:t>
      </w:r>
    </w:p>
    <w:p w:rsidR="0084797A" w:rsidRDefault="0084797A">
      <w:pPr>
        <w:pStyle w:val="ConsPlusNormal"/>
        <w:spacing w:before="220"/>
        <w:ind w:firstLine="540"/>
        <w:jc w:val="both"/>
      </w:pPr>
      <w:r>
        <w:lastRenderedPageBreak/>
        <w:t>--------------------------------</w:t>
      </w:r>
    </w:p>
    <w:p w:rsidR="0084797A" w:rsidRDefault="0084797A">
      <w:pPr>
        <w:pStyle w:val="ConsPlusNormal"/>
        <w:spacing w:before="220"/>
        <w:ind w:firstLine="540"/>
        <w:jc w:val="both"/>
      </w:pPr>
      <w:r>
        <w:t xml:space="preserve">&lt;2&gt; </w:t>
      </w:r>
      <w:hyperlink r:id="rId16">
        <w:r>
          <w:rPr>
            <w:color w:val="0000FF"/>
          </w:rPr>
          <w:t>Подпункт 8.1 пункта 8</w:t>
        </w:r>
      </w:hyperlink>
      <w:r>
        <w:t xml:space="preserve"> Требований к составу и структуре схемы размещения, использования и охраны охотничьих угодий на территории субъекта Российской Федерации, утвержденных приказом Министерства природных ресурсов и экологии Российской Федерации от 31 августа 2010 г. N 335 (зарегистрирован Министерством юстиции Российской Федерации 4 октября 2010 г., регистрационный N 18614), с изменением, внесенным приказом Министерства природных ресурсов и экологии Российской Федерации от 29 августа 2018 г. N 392 (зарегистрирован Министерством юстиции Российской Федерации 24 сентября 2018 г., регистрационный N 52231).</w:t>
      </w:r>
    </w:p>
    <w:p w:rsidR="0084797A" w:rsidRDefault="0084797A">
      <w:pPr>
        <w:pStyle w:val="ConsPlusNormal"/>
        <w:jc w:val="both"/>
      </w:pPr>
    </w:p>
    <w:p w:rsidR="0084797A" w:rsidRDefault="0084797A">
      <w:pPr>
        <w:pStyle w:val="ConsPlusNormal"/>
        <w:jc w:val="both"/>
      </w:pPr>
    </w:p>
    <w:p w:rsidR="0084797A" w:rsidRDefault="0084797A">
      <w:pPr>
        <w:pStyle w:val="ConsPlusNormal"/>
        <w:pBdr>
          <w:bottom w:val="single" w:sz="6" w:space="0" w:color="auto"/>
        </w:pBdr>
        <w:spacing w:before="100" w:after="100"/>
        <w:jc w:val="both"/>
        <w:rPr>
          <w:sz w:val="2"/>
          <w:szCs w:val="2"/>
        </w:rPr>
      </w:pPr>
    </w:p>
    <w:p w:rsidR="00DA4325" w:rsidRDefault="00DA4325"/>
    <w:sectPr w:rsidR="00DA4325" w:rsidSect="00595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97A"/>
    <w:rsid w:val="0084797A"/>
    <w:rsid w:val="00DA4325"/>
    <w:rsid w:val="00FC5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797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4797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4797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797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4797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4797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9921&amp;dst=269" TargetMode="External"/><Relationship Id="rId13" Type="http://schemas.openxmlformats.org/officeDocument/2006/relationships/hyperlink" Target="https://login.consultant.ru/link/?req=doc&amp;base=LAW&amp;n=461231&amp;dst=10001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79921&amp;dst=100309" TargetMode="External"/><Relationship Id="rId12" Type="http://schemas.openxmlformats.org/officeDocument/2006/relationships/hyperlink" Target="https://login.consultant.ru/link/?req=doc&amp;base=LAW&amp;n=461231&amp;dst=100015"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307512&amp;dst=100067" TargetMode="External"/><Relationship Id="rId1" Type="http://schemas.openxmlformats.org/officeDocument/2006/relationships/styles" Target="styles.xml"/><Relationship Id="rId6" Type="http://schemas.openxmlformats.org/officeDocument/2006/relationships/hyperlink" Target="https://login.consultant.ru/link/?req=doc&amp;base=LAW&amp;n=461231&amp;dst=100006" TargetMode="External"/><Relationship Id="rId11" Type="http://schemas.openxmlformats.org/officeDocument/2006/relationships/hyperlink" Target="https://login.consultant.ru/link/?req=doc&amp;base=LAW&amp;n=461231&amp;dst=100006"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366648&amp;dst=10" TargetMode="External"/><Relationship Id="rId10" Type="http://schemas.openxmlformats.org/officeDocument/2006/relationships/hyperlink" Target="https://login.consultant.ru/link/?req=doc&amp;base=LAW&amp;n=37067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4545&amp;dst=139" TargetMode="External"/><Relationship Id="rId14" Type="http://schemas.openxmlformats.org/officeDocument/2006/relationships/hyperlink" Target="https://login.consultant.ru/link/?req=doc&amp;base=LAW&amp;n=461231&amp;dst=1000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8165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Игоревна КОМОВА</dc:creator>
  <cp:lastModifiedBy>Мясникова Мария Александровна</cp:lastModifiedBy>
  <cp:revision>2</cp:revision>
  <dcterms:created xsi:type="dcterms:W3CDTF">2025-04-03T09:11:00Z</dcterms:created>
  <dcterms:modified xsi:type="dcterms:W3CDTF">2025-04-03T09:11:00Z</dcterms:modified>
</cp:coreProperties>
</file>