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5"/>
        <w:gridCol w:w="2256"/>
      </w:tblGrid>
      <w:tr w:rsidR="00E0585E" w14:paraId="58D92253" w14:textId="77777777" w:rsidTr="00E0585E">
        <w:tc>
          <w:tcPr>
            <w:tcW w:w="8046" w:type="dxa"/>
          </w:tcPr>
          <w:p w14:paraId="19A6D794" w14:textId="62FE2F09" w:rsidR="00E0585E" w:rsidRPr="00E0585E" w:rsidRDefault="00E0585E" w:rsidP="00E05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ООУ </w:t>
            </w:r>
            <w:proofErr w:type="spellStart"/>
            <w:r w:rsidRPr="00E05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Подпорожского</w:t>
            </w:r>
            <w:proofErr w:type="spellEnd"/>
            <w:r w:rsidRPr="00E05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(В районе п. </w:t>
            </w:r>
            <w:proofErr w:type="spellStart"/>
            <w:r w:rsidRPr="00E05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Игнатовское</w:t>
            </w:r>
            <w:proofErr w:type="spellEnd"/>
            <w:r w:rsidRPr="00E05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14:paraId="30A9181E" w14:textId="77777777" w:rsidR="00E0585E" w:rsidRPr="00017D1C" w:rsidRDefault="00E0585E" w:rsidP="00673D4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32,3 тыс. га</w:t>
            </w:r>
          </w:p>
          <w:p w14:paraId="620EF816" w14:textId="7F77B63C" w:rsidR="00E0585E" w:rsidRPr="00017D1C" w:rsidRDefault="00AD2124" w:rsidP="00E05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Населённые пункты: пос</w:t>
            </w:r>
            <w:r w:rsidR="00E0585E" w:rsidRPr="0001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0585E" w:rsidRPr="0001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Игнатовское</w:t>
            </w:r>
            <w:proofErr w:type="spellEnd"/>
          </w:p>
          <w:p w14:paraId="729DDA0E" w14:textId="68D3CF62" w:rsidR="00CB005C" w:rsidRDefault="000428D9" w:rsidP="00B477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D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адоводства</w:t>
            </w:r>
            <w:r w:rsidR="00B47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05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525" w:type="dxa"/>
          </w:tcPr>
          <w:p w14:paraId="2CC33BC8" w14:textId="4F2776BD" w:rsidR="00E0585E" w:rsidRDefault="002A732C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5F56E4" wp14:editId="2749A40E">
                  <wp:extent cx="1285875" cy="1285875"/>
                  <wp:effectExtent l="0" t="0" r="9525" b="9525"/>
                  <wp:docPr id="5" name="Рисунок 5" descr="C:\Users\lr_muhametgalieva\AppData\Local\Microsoft\Windows\INetCache\Content.Word\ООУ Подпорожского района (В районе п. Игнатовское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r_muhametgalieva\AppData\Local\Microsoft\Windows\INetCache\Content.Word\ООУ Подпорожского района (В районе п. Игнатовское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05C97" w14:textId="77BDB2B2" w:rsidR="00F35F88" w:rsidRDefault="00AD2124" w:rsidP="00F3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Угодья.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F88" w:rsidRPr="00F3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угодий на территории участка занимают </w:t>
      </w:r>
      <w:proofErr w:type="spellStart"/>
      <w:r w:rsidR="00F35F88" w:rsidRPr="00F35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старовозрастные</w:t>
      </w:r>
      <w:proofErr w:type="spellEnd"/>
      <w:r w:rsidR="00F35F88" w:rsidRPr="00F3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хвойные и лиственные леса, молодняки, вырубки. Активно ведется лесозаготовительная деятельность. Незначительную часть на западе участка занимают верховые болота. По территории угодий протекают 2 лесные речки, расположены не</w:t>
      </w:r>
      <w:r w:rsidR="00F35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мелких лесных озер.</w:t>
      </w:r>
    </w:p>
    <w:p w14:paraId="63DC832A" w14:textId="0D8E3692" w:rsidR="00F35F88" w:rsidRDefault="00AD2124" w:rsidP="00AD212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п. </w:t>
      </w:r>
      <w:proofErr w:type="spellStart"/>
      <w:r w:rsidR="00EC49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Игнатовское</w:t>
      </w:r>
      <w:proofErr w:type="spellEnd"/>
      <w:r w:rsidR="00F35F88" w:rsidRPr="00F3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добраться на любом виде транспорта по автомобильной грунтовой дороге регионал</w:t>
      </w:r>
      <w:r w:rsidR="00EC4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значения. От п. </w:t>
      </w:r>
      <w:proofErr w:type="spellStart"/>
      <w:r w:rsidR="00EC49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Игнатовское</w:t>
      </w:r>
      <w:proofErr w:type="spellEnd"/>
      <w:r w:rsidR="00F35F88" w:rsidRPr="00F3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юг и запад участка проложена качественная лесовозная грунтовая дорога для любого вида транспорта. В другие части участка можно попасть только с использованием </w:t>
      </w:r>
      <w:proofErr w:type="spellStart"/>
      <w:r w:rsidR="00F35F88" w:rsidRPr="00F35F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квадроциклов</w:t>
      </w:r>
      <w:proofErr w:type="spellEnd"/>
      <w:r w:rsidR="00F35F88" w:rsidRPr="00F3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35F88" w:rsidRPr="00F35F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болотоходов</w:t>
      </w:r>
      <w:proofErr w:type="spellEnd"/>
      <w:r w:rsidR="00F35F88" w:rsidRPr="00F35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5F88" w:rsidRPr="00F35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AEF5358" w14:textId="1150E3F3" w:rsidR="00017D1C" w:rsidRPr="00AD2124" w:rsidRDefault="00AD2124" w:rsidP="00AD212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Охотничьи ресурсы: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AF27A1" w14:paraId="4AFC7AA9" w14:textId="77777777" w:rsidTr="00AF27A1">
        <w:tc>
          <w:tcPr>
            <w:tcW w:w="1242" w:type="dxa"/>
          </w:tcPr>
          <w:p w14:paraId="471A709E" w14:textId="2C26BADD" w:rsidR="00AF27A1" w:rsidRDefault="00AF27A1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DB6B40" wp14:editId="50AE7494">
                  <wp:extent cx="514350" cy="6296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wing.com (14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13" cy="63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14:paraId="5C5F318B" w14:textId="58EA9C25" w:rsidR="00AF27A1" w:rsidRDefault="00AF27A1" w:rsidP="00AF27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заяц-беляк, бобр, куница, лисица, рябчик, тетерев</w:t>
            </w:r>
          </w:p>
        </w:tc>
      </w:tr>
      <w:tr w:rsidR="00AF27A1" w14:paraId="1FAA0275" w14:textId="77777777" w:rsidTr="00AF27A1">
        <w:tc>
          <w:tcPr>
            <w:tcW w:w="1242" w:type="dxa"/>
          </w:tcPr>
          <w:p w14:paraId="52FA8514" w14:textId="280CCD26" w:rsidR="00AF27A1" w:rsidRDefault="00AF27A1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26F7FC" wp14:editId="08043579">
                  <wp:extent cx="57246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wing.com (15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3" cy="57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14:paraId="6FD02861" w14:textId="169B2236" w:rsidR="00AF27A1" w:rsidRDefault="00AF27A1" w:rsidP="00AF27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кабан, голуби</w:t>
            </w:r>
          </w:p>
        </w:tc>
      </w:tr>
      <w:tr w:rsidR="00AF27A1" w14:paraId="45D79859" w14:textId="77777777" w:rsidTr="00AB5F9E">
        <w:tc>
          <w:tcPr>
            <w:tcW w:w="9571" w:type="dxa"/>
            <w:gridSpan w:val="2"/>
          </w:tcPr>
          <w:p w14:paraId="258A4DCE" w14:textId="24D901AA" w:rsidR="00AF27A1" w:rsidRPr="00F35F88" w:rsidRDefault="00AF27A1" w:rsidP="00AF27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5055B3" w14:textId="79CE022E" w:rsidR="000A015D" w:rsidRDefault="000A015D" w:rsidP="00042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8-812-</w:t>
      </w:r>
      <w:r w:rsidRPr="0004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539-50-77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Горячая линия по борьбе с браконьерством</w:t>
      </w:r>
    </w:p>
    <w:p w14:paraId="3E97F599" w14:textId="43177F77" w:rsidR="000A015D" w:rsidRDefault="000A015D" w:rsidP="00042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района: </w:t>
      </w:r>
      <w:r w:rsidRPr="0004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8-911-130-89-53</w:t>
      </w:r>
      <w:r w:rsidR="000428D9" w:rsidRPr="0004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2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Константинович </w:t>
      </w:r>
    </w:p>
    <w:p w14:paraId="02F6A7F3" w14:textId="21A2B387" w:rsidR="00855D27" w:rsidRDefault="00855D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7C83B99" w14:textId="1D7107A1" w:rsidR="00E0585E" w:rsidRDefault="00E0585E" w:rsidP="0001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Описание границ</w:t>
      </w:r>
    </w:p>
    <w:p w14:paraId="341C6D8C" w14:textId="47821DF3" w:rsidR="00017D1C" w:rsidRPr="00017D1C" w:rsidRDefault="00017D1C" w:rsidP="0001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D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Северная:</w:t>
      </w:r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северо-западного угла квартала 122 Онежского участкового лесничества Подпорожского лесничества общим направление на восток по северным границам кварталов 122, 123, 124, по северной и </w:t>
      </w:r>
      <w:r w:rsidR="007467EB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восточной</w:t>
      </w:r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границам квартала 125, по северным границам кварталов 126, 127 Онежского участкового лесничества до северо-восточного угла квартала 127 Онежского участкового лесничества (с выходом на административную границу Ленинградской и Вологодской областей).</w:t>
      </w:r>
      <w:proofErr w:type="gramEnd"/>
    </w:p>
    <w:p w14:paraId="41A36861" w14:textId="77777777" w:rsidR="00017D1C" w:rsidRPr="00017D1C" w:rsidRDefault="00017D1C" w:rsidP="0001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D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Восточная:</w:t>
      </w:r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северо-восточного угла квартала 127 Онежского участкового лесничества общим направлением на юг (по административной границе Ленинградской и Вологодской областей) по восточной и южной границам квартала 127, по южной границе квартала 126, по восточным границам кварталов 132, 137 Онежского участкового лесничества, по восточной границе квартала 10, по северо-восточной границе кварталов 20, 33, по северной, восточной и южной границам квартала 34, по</w:t>
      </w:r>
      <w:proofErr w:type="gram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восточной границе квартала 47, по северной границе квартала 62, по восточным границам кварталов 63, 79, 91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Тукшинского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Подпорожского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лесничества до юго-восточного угла квартала 91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Тукшинского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лесничества.</w:t>
      </w:r>
    </w:p>
    <w:p w14:paraId="34E826E2" w14:textId="79D36D49" w:rsidR="00017D1C" w:rsidRPr="00017D1C" w:rsidRDefault="00017D1C" w:rsidP="0001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D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Южная:</w:t>
      </w:r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юго-восточного угла квартала 91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Тукшинского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на запад по южным границам кварталов 91, 90, 89, 88, 87, 86, 85, 84, 83, 82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Тукшинского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до </w:t>
      </w:r>
      <w:r w:rsidR="007467EB">
        <w:rPr>
          <w:rFonts w:ascii="Times New Roman" w:eastAsia="Times New Roman" w:hAnsi="Times New Roman" w:cs="Times New Roman"/>
          <w:sz w:val="20"/>
          <w:szCs w:val="20"/>
          <w:lang w:eastAsia="ru-RU"/>
        </w:rPr>
        <w:t>юго</w:t>
      </w:r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-западного угла квартала 82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Тукшинского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лесничества. </w:t>
      </w:r>
      <w:proofErr w:type="gram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общим направлением на юг по западной границе квартала 92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Тукшинского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до его юго-западного угла (с выходом на берег реки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Сондала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Далее общим направлением на юго-восток вверх по течению реки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Сондала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ее среднему течению до северо-восточного угла квартала </w:t>
      </w:r>
      <w:r w:rsidR="00150713">
        <w:rPr>
          <w:rFonts w:ascii="Times New Roman" w:eastAsia="Times New Roman" w:hAnsi="Times New Roman" w:cs="Times New Roman"/>
          <w:sz w:val="20"/>
          <w:szCs w:val="20"/>
          <w:lang w:eastAsia="ru-RU"/>
        </w:rPr>
        <w:t>46</w:t>
      </w:r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Немжинского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Подпорожского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лесничества. Далее общим направлением на запад по северным границам кварталов </w:t>
      </w:r>
      <w:r w:rsidR="00150713">
        <w:rPr>
          <w:rFonts w:ascii="Times New Roman" w:eastAsia="Times New Roman" w:hAnsi="Times New Roman" w:cs="Times New Roman"/>
          <w:sz w:val="20"/>
          <w:szCs w:val="20"/>
          <w:lang w:eastAsia="ru-RU"/>
        </w:rPr>
        <w:t>46,</w:t>
      </w:r>
      <w:r w:rsidRPr="00150713">
        <w:rPr>
          <w:rFonts w:ascii="Times New Roman" w:eastAsia="Times New Roman" w:hAnsi="Times New Roman" w:cs="Times New Roman"/>
          <w:sz w:val="20"/>
          <w:szCs w:val="20"/>
          <w:lang w:eastAsia="ru-RU"/>
        </w:rPr>
        <w:t>45, 44</w:t>
      </w:r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южным границам кварталов 24, 23, 22, 21, 20, 19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Немжинского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до юго-западного угла квартала 19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Немжинского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(с Выходом на реку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Оять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14:paraId="4928772E" w14:textId="0336E94A" w:rsidR="00017D1C" w:rsidRPr="00017D1C" w:rsidRDefault="00017D1C" w:rsidP="00017D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7D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Западная:</w:t>
      </w:r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юго-западного угла квартала 19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Немжинского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общим направлением на север вниз по течению реки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Оять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ее среднему течению до впадения реки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Сондала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Далее общим направлением на северо-восток вверх по течению реки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Сондала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пересечения восточной границы квартала 58 Винницкого сельского участкового лесничества Подпорожского лесничества. </w:t>
      </w:r>
      <w:proofErr w:type="gram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общим направлением на север по восточной границе квартала 58, по восточной и северной границам квартала 50 Винницкого сельского участкового лесничества до пересечения с рекой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Тукша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Далее общим направлением на северо-восток вверх по течению реки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Тукша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ее среднему течению до пересечения восточной границы квартала </w:t>
      </w:r>
      <w:r w:rsidRPr="007467EB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Тукшинского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лесничества. Далее </w:t>
      </w:r>
      <w:proofErr w:type="gram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общим</w:t>
      </w:r>
      <w:proofErr w:type="gram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направлением на </w:t>
      </w:r>
      <w:r w:rsidR="007467E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</w:t>
      </w:r>
      <w:r w:rsidR="0015071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восточной и северной границам квартала 15, по восточной границе квартала 5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Тукшинского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до берега озера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Палозеро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обходя озеро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Палозеро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юга по береговой линии до северной границы квартала 5 </w:t>
      </w:r>
      <w:proofErr w:type="spellStart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>Тукшинского</w:t>
      </w:r>
      <w:proofErr w:type="spellEnd"/>
      <w:r w:rsidRPr="0001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далее общим направлением на север по южной и западной границам квартала 133, по западным границам кварталов 128, 122 Онежского участкового лесничества до северо-западного угла квартала 122 Онежского участкового лесничества.</w:t>
      </w:r>
      <w:proofErr w:type="gramEnd"/>
    </w:p>
    <w:sectPr w:rsidR="00017D1C" w:rsidRPr="0001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019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3481"/>
    <w:multiLevelType w:val="hybridMultilevel"/>
    <w:tmpl w:val="E6D89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CE72F49"/>
    <w:multiLevelType w:val="hybridMultilevel"/>
    <w:tmpl w:val="E6D89C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ья Владимировна ЗАПОРОЖЕЦ">
    <w15:presenceInfo w15:providerId="AD" w15:userId="S-1-5-21-540365812-746640119-474720973-3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0C"/>
    <w:rsid w:val="00017D1C"/>
    <w:rsid w:val="000428D9"/>
    <w:rsid w:val="000A015D"/>
    <w:rsid w:val="000B3441"/>
    <w:rsid w:val="001079B4"/>
    <w:rsid w:val="00150713"/>
    <w:rsid w:val="00150E43"/>
    <w:rsid w:val="001C59B1"/>
    <w:rsid w:val="002172CC"/>
    <w:rsid w:val="002A732C"/>
    <w:rsid w:val="00341031"/>
    <w:rsid w:val="0035064C"/>
    <w:rsid w:val="00385ACC"/>
    <w:rsid w:val="003C150C"/>
    <w:rsid w:val="003C4434"/>
    <w:rsid w:val="0048205D"/>
    <w:rsid w:val="0066082E"/>
    <w:rsid w:val="00673D41"/>
    <w:rsid w:val="006A5AC0"/>
    <w:rsid w:val="007467EB"/>
    <w:rsid w:val="00855D27"/>
    <w:rsid w:val="00931D1A"/>
    <w:rsid w:val="009A4397"/>
    <w:rsid w:val="009C5FA0"/>
    <w:rsid w:val="00A8751F"/>
    <w:rsid w:val="00AD2124"/>
    <w:rsid w:val="00AF27A1"/>
    <w:rsid w:val="00B477EE"/>
    <w:rsid w:val="00B6147D"/>
    <w:rsid w:val="00C20BF9"/>
    <w:rsid w:val="00CB005C"/>
    <w:rsid w:val="00CD4236"/>
    <w:rsid w:val="00CE7AB0"/>
    <w:rsid w:val="00D540E4"/>
    <w:rsid w:val="00D83B84"/>
    <w:rsid w:val="00D93E64"/>
    <w:rsid w:val="00DC2DCC"/>
    <w:rsid w:val="00E0585E"/>
    <w:rsid w:val="00E6082D"/>
    <w:rsid w:val="00EC497E"/>
    <w:rsid w:val="00EC6FB8"/>
    <w:rsid w:val="00F35F88"/>
    <w:rsid w:val="00FA131D"/>
    <w:rsid w:val="00FA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E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A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A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A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A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A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ACC"/>
    <w:pPr>
      <w:ind w:left="720"/>
      <w:contextualSpacing/>
    </w:pPr>
  </w:style>
  <w:style w:type="table" w:styleId="ab">
    <w:name w:val="Table Grid"/>
    <w:basedOn w:val="a1"/>
    <w:uiPriority w:val="59"/>
    <w:rsid w:val="00AF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A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A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A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A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A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ACC"/>
    <w:pPr>
      <w:ind w:left="720"/>
      <w:contextualSpacing/>
    </w:pPr>
  </w:style>
  <w:style w:type="table" w:styleId="ab">
    <w:name w:val="Table Grid"/>
    <w:basedOn w:val="a1"/>
    <w:uiPriority w:val="59"/>
    <w:rsid w:val="00AF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Мария Александровна</dc:creator>
  <cp:lastModifiedBy>Лилия Рафиковна Мухаметгалиева</cp:lastModifiedBy>
  <cp:revision>4</cp:revision>
  <cp:lastPrinted>2024-06-07T10:54:00Z</cp:lastPrinted>
  <dcterms:created xsi:type="dcterms:W3CDTF">2024-06-13T12:48:00Z</dcterms:created>
  <dcterms:modified xsi:type="dcterms:W3CDTF">2024-06-27T06:47:00Z</dcterms:modified>
</cp:coreProperties>
</file>