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A1" w:rsidRPr="001903A1" w:rsidRDefault="001903A1" w:rsidP="001903A1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58"/>
          <w:szCs w:val="58"/>
          <w:lang w:eastAsia="ru-RU"/>
        </w:rPr>
      </w:pPr>
      <w:r w:rsidRPr="001903A1">
        <w:rPr>
          <w:rFonts w:ascii="Arial" w:eastAsia="Times New Roman" w:hAnsi="Arial" w:cs="Arial"/>
          <w:color w:val="444444"/>
          <w:sz w:val="58"/>
          <w:szCs w:val="58"/>
          <w:lang w:eastAsia="ru-RU"/>
        </w:rPr>
        <w:t>Дополнено Положение о федеральном государственном охотничьем контроле</w:t>
      </w:r>
      <w:bookmarkStart w:id="0" w:name="_GoBack"/>
      <w:bookmarkEnd w:id="0"/>
    </w:p>
    <w:p w:rsidR="001903A1" w:rsidRPr="001903A1" w:rsidRDefault="001903A1" w:rsidP="001903A1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    Соответствующие изменения внесены </w:t>
      </w:r>
      <w:hyperlink r:id="rId5" w:tgtFrame="_blank" w:history="1">
        <w:r w:rsidRPr="001903A1">
          <w:rPr>
            <w:rFonts w:ascii="Arial" w:eastAsia="Times New Roman" w:hAnsi="Arial" w:cs="Arial"/>
            <w:color w:val="0086EE"/>
            <w:sz w:val="23"/>
            <w:szCs w:val="23"/>
            <w:u w:val="single"/>
            <w:lang w:eastAsia="ru-RU"/>
          </w:rPr>
          <w:t>постановлением Правительства РФ от 09.03.2023 N 368</w:t>
        </w:r>
      </w:hyperlink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в </w:t>
      </w:r>
      <w:hyperlink r:id="rId6" w:tgtFrame="_blank" w:history="1">
        <w:r w:rsidRPr="001903A1">
          <w:rPr>
            <w:rFonts w:ascii="Arial" w:eastAsia="Times New Roman" w:hAnsi="Arial" w:cs="Arial"/>
            <w:color w:val="0086EE"/>
            <w:sz w:val="23"/>
            <w:szCs w:val="23"/>
            <w:u w:val="single"/>
            <w:lang w:eastAsia="ru-RU"/>
          </w:rPr>
          <w:t>постановление Правительства РФ от 30.06.2021 N 1065</w:t>
        </w:r>
      </w:hyperlink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     Согласно </w:t>
      </w:r>
      <w:hyperlink r:id="rId7" w:tgtFrame="_blank" w:history="1">
        <w:r w:rsidRPr="001903A1">
          <w:rPr>
            <w:rFonts w:ascii="Arial" w:eastAsia="Times New Roman" w:hAnsi="Arial" w:cs="Arial"/>
            <w:color w:val="0086EE"/>
            <w:sz w:val="23"/>
            <w:szCs w:val="23"/>
            <w:u w:val="single"/>
            <w:lang w:eastAsia="ru-RU"/>
          </w:rPr>
          <w:t>нововведениям</w:t>
        </w:r>
      </w:hyperlink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    -  </w:t>
      </w:r>
      <w:proofErr w:type="gramStart"/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Государственный надзор может осуществляться в рамках постоянного рейда в соответствии с положениями </w:t>
      </w:r>
      <w:hyperlink r:id="rId8" w:tgtFrame="_blank" w:history="1">
        <w:r w:rsidRPr="001903A1">
          <w:rPr>
            <w:rFonts w:ascii="Arial" w:eastAsia="Times New Roman" w:hAnsi="Arial" w:cs="Arial"/>
            <w:color w:val="0086EE"/>
            <w:sz w:val="23"/>
            <w:szCs w:val="23"/>
            <w:u w:val="single"/>
            <w:lang w:eastAsia="ru-RU"/>
          </w:rPr>
          <w:t>Федерального закона "О государственном контроле (надзоре) и муниципальном контроле в Российской Федерации"</w:t>
        </w:r>
      </w:hyperlink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 и </w:t>
      </w:r>
      <w:hyperlink r:id="rId9" w:tgtFrame="_blank" w:history="1">
        <w:r w:rsidRPr="001903A1">
          <w:rPr>
            <w:rFonts w:ascii="Arial" w:eastAsia="Times New Roman" w:hAnsi="Arial" w:cs="Arial"/>
            <w:color w:val="0086EE"/>
            <w:sz w:val="23"/>
            <w:szCs w:val="23"/>
            <w:u w:val="single"/>
            <w:lang w:eastAsia="ru-RU"/>
          </w:rPr>
          <w:t>Положением о федеральном государственном охотничьем контроле (надзоре);</w:t>
        </w:r>
      </w:hyperlink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     - Территориями (акваториями) осуществления постоянного рейда являются охотничьи угодья и иные территории, являющиеся средой обитания охотничьих ресурсов, в соответствии с решением надзорного органа (далее - территория постоянного рейда);</w:t>
      </w:r>
      <w:proofErr w:type="gramEnd"/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 xml:space="preserve">           - </w:t>
      </w:r>
      <w:proofErr w:type="gramStart"/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Постоянный рейд заключается в возможности перемещения государственных охотничьих инспекторов по территории постоянного рейда в целях предупреждения, выявления и пресечения нарушений обязательных требований;</w:t>
      </w: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     - Пункты контроля при осуществлении постоянного рейда не устанавливаются;</w:t>
      </w: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     - В решении надзорного органа указываются перечень территорий постоянного рейда, а также государственные охотничьи инспекторы, уполномоченные на проведение постоянного рейда на территориях постоянного рейда;</w:t>
      </w:r>
      <w:proofErr w:type="gramEnd"/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     -  Постоянный рейд осуществляется в отношении транспортных средств, деятельности и действий граждан на территории постоянного рейда.</w:t>
      </w: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     При осуществлении постоянного рейда могут совершаться следующие контрольные (надзорные) действия:</w:t>
      </w: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     а) осмотр;</w:t>
      </w: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     б) досмотр;</w:t>
      </w: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     в) опрос;</w:t>
      </w: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     г) истребование документов, которые в соответствии с обязательными требованиями должны находиться в транспортном средстве или у гражданина;</w:t>
      </w: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</w:t>
      </w:r>
    </w:p>
    <w:p w:rsidR="001903A1" w:rsidRPr="001903A1" w:rsidRDefault="001903A1" w:rsidP="001903A1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    </w:t>
      </w:r>
      <w:proofErr w:type="gramStart"/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-  Контрольные (надзорные) действия в рамках постоянного рейда осуществляются в порядке и объеме, определенных </w:t>
      </w:r>
      <w:hyperlink r:id="rId10" w:tgtFrame="_blank" w:history="1">
        <w:r w:rsidRPr="001903A1">
          <w:rPr>
            <w:rFonts w:ascii="Arial" w:eastAsia="Times New Roman" w:hAnsi="Arial" w:cs="Arial"/>
            <w:color w:val="0086EE"/>
            <w:sz w:val="23"/>
            <w:szCs w:val="23"/>
            <w:u w:val="single"/>
            <w:lang w:eastAsia="ru-RU"/>
          </w:rPr>
          <w:t xml:space="preserve">Федеральным законом "О </w:t>
        </w:r>
        <w:r w:rsidRPr="001903A1">
          <w:rPr>
            <w:rFonts w:ascii="Arial" w:eastAsia="Times New Roman" w:hAnsi="Arial" w:cs="Arial"/>
            <w:color w:val="0086EE"/>
            <w:sz w:val="23"/>
            <w:szCs w:val="23"/>
            <w:u w:val="single"/>
            <w:lang w:eastAsia="ru-RU"/>
          </w:rPr>
          <w:lastRenderedPageBreak/>
          <w:t>государственном контроле (надзоре) и муниципальном контроле в Российской Федерации"</w:t>
        </w:r>
      </w:hyperlink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;</w:t>
      </w: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     - При осуществлении постоянного рейда время взаимодействия государственного охотничьего инспектора с одним гражданином не может составлять более 30 минут (в данный период времени не включается оформление акта контрольного (надзорного) мероприятия);</w:t>
      </w:r>
      <w:proofErr w:type="gramEnd"/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 xml:space="preserve">          - </w:t>
      </w:r>
      <w:proofErr w:type="gramStart"/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случае если в результате постоянного рейда были выявлены нарушения обязательных требований, в том числе ставшие известными из акта производственного охотничьего инспектора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ресурсов, государственный охотничий инспектор на месте составляет отдельный акт контрольного (надзорного) мероприятия в отношении каждого гражданина, допустившего нарушение обязательных</w:t>
      </w:r>
      <w:proofErr w:type="gramEnd"/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требований;</w:t>
      </w: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     - Граждане, находящиеся на территории постоянного рейда, обязаны по требованию государственного охотничьего инспектора остановиться, обеспечить беспрепятственный доступ к транспортным средствам, предоставить для ознакомления документы, которые в соответствии с обязательными требованиями должны находиться в транспортном средстве или у гражданина.     </w:t>
      </w:r>
      <w:r w:rsidRPr="001903A1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     </w:t>
      </w:r>
    </w:p>
    <w:sectPr w:rsidR="001903A1" w:rsidRPr="0019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49"/>
    <w:rsid w:val="001903A1"/>
    <w:rsid w:val="00CE6848"/>
    <w:rsid w:val="00E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9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0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9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0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6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6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415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30092472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6071326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1300924723" TargetMode="External"/><Relationship Id="rId10" Type="http://schemas.openxmlformats.org/officeDocument/2006/relationships/hyperlink" Target="http://docs.cntd.ru/document/565415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607132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2023-03-14T09:32:00Z</dcterms:created>
  <dcterms:modified xsi:type="dcterms:W3CDTF">2023-03-14T09:36:00Z</dcterms:modified>
</cp:coreProperties>
</file>