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43" w:rsidRDefault="00A91F43" w:rsidP="00A91F43">
      <w:pPr>
        <w:pStyle w:val="3"/>
        <w:jc w:val="right"/>
        <w:rPr>
          <w:szCs w:val="28"/>
        </w:rPr>
      </w:pPr>
    </w:p>
    <w:p w:rsidR="00A91F43" w:rsidRPr="00E047CE" w:rsidRDefault="00A91F43" w:rsidP="00A91F43">
      <w:pPr>
        <w:pStyle w:val="3"/>
        <w:jc w:val="right"/>
        <w:rPr>
          <w:szCs w:val="28"/>
        </w:rPr>
      </w:pPr>
      <w:bookmarkStart w:id="0" w:name="_GoBack"/>
      <w:bookmarkEnd w:id="0"/>
      <w:r w:rsidRPr="00E047CE">
        <w:rPr>
          <w:szCs w:val="28"/>
        </w:rPr>
        <w:t>УТВЕРЖДЕНО</w:t>
      </w:r>
    </w:p>
    <w:p w:rsidR="00A91F43" w:rsidRPr="00E047CE" w:rsidRDefault="00A91F43" w:rsidP="00A91F43">
      <w:pPr>
        <w:pStyle w:val="3"/>
        <w:jc w:val="right"/>
        <w:rPr>
          <w:szCs w:val="28"/>
        </w:rPr>
      </w:pPr>
      <w:r w:rsidRPr="00E047CE">
        <w:rPr>
          <w:szCs w:val="28"/>
        </w:rPr>
        <w:t>распоряжением комитета</w:t>
      </w:r>
    </w:p>
    <w:p w:rsidR="00A91F43" w:rsidRPr="00E047CE" w:rsidRDefault="00A91F43" w:rsidP="00A91F43">
      <w:pPr>
        <w:pStyle w:val="3"/>
        <w:jc w:val="right"/>
        <w:rPr>
          <w:szCs w:val="28"/>
        </w:rPr>
      </w:pPr>
      <w:r w:rsidRPr="00E047CE">
        <w:rPr>
          <w:szCs w:val="28"/>
        </w:rPr>
        <w:t xml:space="preserve">по охране, контролю и регулированию </w:t>
      </w:r>
    </w:p>
    <w:p w:rsidR="00A91F43" w:rsidRPr="00E047CE" w:rsidRDefault="00A91F43" w:rsidP="00A91F43">
      <w:pPr>
        <w:pStyle w:val="3"/>
        <w:jc w:val="right"/>
        <w:rPr>
          <w:szCs w:val="28"/>
        </w:rPr>
      </w:pPr>
      <w:r w:rsidRPr="00E047CE">
        <w:rPr>
          <w:szCs w:val="28"/>
        </w:rPr>
        <w:t>использования объектов животного мира</w:t>
      </w:r>
    </w:p>
    <w:p w:rsidR="00A91F43" w:rsidRPr="00E047CE" w:rsidRDefault="00A91F43" w:rsidP="00A91F43">
      <w:pPr>
        <w:pStyle w:val="3"/>
        <w:jc w:val="right"/>
        <w:rPr>
          <w:szCs w:val="28"/>
        </w:rPr>
      </w:pPr>
      <w:r w:rsidRPr="00E047CE">
        <w:rPr>
          <w:szCs w:val="28"/>
        </w:rPr>
        <w:t>Ленинградской области</w:t>
      </w:r>
    </w:p>
    <w:p w:rsidR="00A91F43" w:rsidRDefault="00A91F43" w:rsidP="00A91F43">
      <w:pPr>
        <w:pStyle w:val="3"/>
        <w:jc w:val="right"/>
        <w:rPr>
          <w:szCs w:val="28"/>
        </w:rPr>
      </w:pPr>
      <w:r>
        <w:rPr>
          <w:szCs w:val="28"/>
        </w:rPr>
        <w:t xml:space="preserve">от 12 августа  </w:t>
      </w:r>
      <w:r w:rsidRPr="00E047CE">
        <w:rPr>
          <w:szCs w:val="28"/>
        </w:rPr>
        <w:t>20</w:t>
      </w:r>
      <w:r>
        <w:rPr>
          <w:szCs w:val="28"/>
        </w:rPr>
        <w:t>22</w:t>
      </w:r>
      <w:r w:rsidRPr="00E047CE">
        <w:rPr>
          <w:szCs w:val="28"/>
        </w:rPr>
        <w:t xml:space="preserve"> года №</w:t>
      </w:r>
      <w:r>
        <w:rPr>
          <w:szCs w:val="28"/>
        </w:rPr>
        <w:t xml:space="preserve"> 108 </w:t>
      </w:r>
      <w:r w:rsidRPr="00E047CE">
        <w:rPr>
          <w:szCs w:val="28"/>
        </w:rPr>
        <w:t xml:space="preserve"> </w:t>
      </w:r>
    </w:p>
    <w:p w:rsidR="00A91F43" w:rsidRDefault="00A91F43" w:rsidP="00A91F43">
      <w:pPr>
        <w:pStyle w:val="3"/>
        <w:jc w:val="right"/>
        <w:rPr>
          <w:szCs w:val="28"/>
        </w:rPr>
      </w:pPr>
      <w:r w:rsidRPr="00E047CE">
        <w:rPr>
          <w:szCs w:val="28"/>
        </w:rPr>
        <w:t>приложение</w:t>
      </w:r>
    </w:p>
    <w:p w:rsidR="00A91F43" w:rsidRDefault="00A91F43" w:rsidP="00A91F43">
      <w:pPr>
        <w:pStyle w:val="3"/>
        <w:jc w:val="right"/>
        <w:rPr>
          <w:szCs w:val="28"/>
        </w:rPr>
      </w:pPr>
    </w:p>
    <w:p w:rsidR="00A91F43" w:rsidRPr="00F66A2F" w:rsidRDefault="00A91F43" w:rsidP="00A91F43">
      <w:pPr>
        <w:pStyle w:val="3"/>
        <w:jc w:val="right"/>
        <w:rPr>
          <w:szCs w:val="28"/>
        </w:rPr>
      </w:pPr>
      <w:r>
        <w:rPr>
          <w:szCs w:val="28"/>
        </w:rPr>
        <w:t xml:space="preserve">    </w:t>
      </w:r>
    </w:p>
    <w:p w:rsidR="00A91F43" w:rsidRDefault="00A91F43" w:rsidP="00A91F43">
      <w:pPr>
        <w:jc w:val="center"/>
        <w:rPr>
          <w:b/>
          <w:sz w:val="28"/>
          <w:szCs w:val="28"/>
        </w:rPr>
      </w:pPr>
      <w:r w:rsidRPr="00655155">
        <w:rPr>
          <w:b/>
          <w:sz w:val="28"/>
          <w:szCs w:val="28"/>
        </w:rPr>
        <w:t xml:space="preserve">График предоставления информации </w:t>
      </w:r>
      <w:r>
        <w:rPr>
          <w:b/>
          <w:sz w:val="28"/>
          <w:szCs w:val="28"/>
        </w:rPr>
        <w:t xml:space="preserve">юридическими лицами, </w:t>
      </w:r>
    </w:p>
    <w:p w:rsidR="00A91F43" w:rsidRDefault="00A91F43" w:rsidP="00A91F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осуществляющими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охотхозяйственную</w:t>
      </w:r>
      <w:proofErr w:type="spellEnd"/>
      <w:r>
        <w:rPr>
          <w:b/>
          <w:sz w:val="28"/>
          <w:szCs w:val="28"/>
        </w:rPr>
        <w:t xml:space="preserve"> деятельность</w:t>
      </w:r>
      <w:r w:rsidRPr="00B45199">
        <w:rPr>
          <w:b/>
          <w:sz w:val="28"/>
          <w:szCs w:val="28"/>
        </w:rPr>
        <w:t xml:space="preserve"> </w:t>
      </w:r>
    </w:p>
    <w:p w:rsidR="00A91F43" w:rsidRPr="00655155" w:rsidRDefault="00A91F43" w:rsidP="00A91F43">
      <w:pPr>
        <w:jc w:val="center"/>
        <w:rPr>
          <w:b/>
          <w:sz w:val="28"/>
          <w:szCs w:val="28"/>
        </w:rPr>
      </w:pPr>
      <w:r w:rsidRPr="00655155">
        <w:rPr>
          <w:b/>
          <w:sz w:val="28"/>
          <w:szCs w:val="28"/>
        </w:rPr>
        <w:t xml:space="preserve">в комитет по охране, контролю и регулированию использования </w:t>
      </w:r>
    </w:p>
    <w:p w:rsidR="00A91F43" w:rsidRDefault="00A91F43" w:rsidP="00A91F43">
      <w:pPr>
        <w:jc w:val="center"/>
        <w:rPr>
          <w:b/>
          <w:sz w:val="28"/>
          <w:szCs w:val="28"/>
        </w:rPr>
      </w:pPr>
      <w:r w:rsidRPr="00655155">
        <w:rPr>
          <w:b/>
          <w:sz w:val="28"/>
          <w:szCs w:val="28"/>
        </w:rPr>
        <w:t>объектов животного мира Ленинградской области</w:t>
      </w:r>
    </w:p>
    <w:p w:rsidR="00A91F43" w:rsidRPr="00655155" w:rsidRDefault="00A91F43" w:rsidP="00A91F43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324"/>
      </w:tblGrid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Срок предоставления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Наименование отчета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Январь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>
              <w:t>до</w:t>
            </w:r>
            <w:r w:rsidRPr="00344461">
              <w:t xml:space="preserve"> 1 января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3.3. Сведения о добыче охотничьих ресурсов, в отношении которых устанавливается лимит добычи; за 4 квартал с нарастающим итогом за год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>
              <w:t>до</w:t>
            </w:r>
            <w:r w:rsidRPr="00344461">
              <w:t xml:space="preserve"> 1 января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3.4. Сведения о добыче охотничьих ресурсов, в отношении которых лимит добычи не устанавливается; за 4 квартал с нарастающим итогом за год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>
              <w:t>до</w:t>
            </w:r>
            <w:r w:rsidRPr="00344461">
              <w:t xml:space="preserve"> 1 января</w:t>
            </w:r>
          </w:p>
        </w:tc>
        <w:tc>
          <w:tcPr>
            <w:tcW w:w="13324" w:type="dxa"/>
            <w:shd w:val="clear" w:color="auto" w:fill="auto"/>
          </w:tcPr>
          <w:p w:rsidR="00A91F43" w:rsidRPr="00F2513F" w:rsidRDefault="00A91F43" w:rsidP="00081040">
            <w:pPr>
              <w:jc w:val="both"/>
            </w:pPr>
            <w:r>
              <w:t>О</w:t>
            </w:r>
            <w:r w:rsidRPr="00344461">
              <w:t>перативная информация о выполнении Плана рекомендуемых мероприятий по мониторингу эпизоотической обстановки по африканской чуме свиней и снижению численности диких кабанов на территории Ленинградской области</w:t>
            </w:r>
            <w:r>
              <w:t xml:space="preserve"> (далее - Оперативный отчёт по АЧС)</w:t>
            </w:r>
            <w:r w:rsidRPr="00344461">
              <w:t xml:space="preserve">. </w:t>
            </w:r>
          </w:p>
        </w:tc>
      </w:tr>
      <w:tr w:rsidR="00A91F43" w:rsidRPr="00344461" w:rsidTr="00081040">
        <w:trPr>
          <w:trHeight w:val="364"/>
        </w:trPr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Февраль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</w:p>
        </w:tc>
      </w:tr>
      <w:tr w:rsidR="00A91F43" w:rsidRPr="00344461" w:rsidTr="00081040">
        <w:trPr>
          <w:trHeight w:val="417"/>
        </w:trPr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0A6385">
              <w:t>к 1 февраля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rPr>
          <w:trHeight w:val="410"/>
        </w:trPr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>
              <w:t>до</w:t>
            </w:r>
            <w:r w:rsidRPr="000A6385">
              <w:t xml:space="preserve"> 1 февраля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autoSpaceDE w:val="0"/>
              <w:autoSpaceDN w:val="0"/>
              <w:adjustRightInd w:val="0"/>
            </w:pPr>
            <w:r w:rsidRPr="000A6385">
              <w:t>Сведения об осуществлении производственного охотничьего контроля на территории закрепленных охотничьих угодий</w:t>
            </w:r>
            <w:r>
              <w:t>.</w:t>
            </w:r>
            <w:r w:rsidRPr="000A6385">
              <w:t xml:space="preserve"> 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Март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0A6385">
              <w:t>к 1 марта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0A6385">
              <w:t>до 1 апреля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Материалы учёта численности охотничьих ресурсов, содержащие данные о численности охотни</w:t>
            </w:r>
            <w:r>
              <w:t xml:space="preserve">чьих ресурсов, предусмотренные </w:t>
            </w:r>
            <w:r w:rsidRPr="000A6385">
              <w:t xml:space="preserve">применяемыми методиками учёта и (или) научными подходами 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lastRenderedPageBreak/>
              <w:t>Апрель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апреля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апреля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3.3. Сведения о добыче охотничьих ресурсов, в отношении которых устанавливается лимит добычи; за 1 квартал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апреля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3.4. Сведения о добыче охотничьих ресурсов, в отношении которых лимит добычи не устанавливается, за 1 квартал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0A6385">
              <w:t>до 10 апреля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объёмах изъятия охотничьих ресурсов по видам и группам видов охотничьих ресурсов за период с 1 августа предыдущего года до 31 марта текущего года 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с 1 по 10 апреля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Заявки на установление квоты добычи охотничьих ресурсов, в отношении которых устанавливается лимит добычи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Май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мая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Июнь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1 июня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Июль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июля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июля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3.3. Сведения о добыче охотничьих ресурсов, в отношении которых устанавливается лимит добычи; за 2 квартал с нарастающим итогом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июля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3.4. Сведения о добыче охотничьих ресурсов, в отношении которых лимит добычи не устанавливается; за 2 квартал с нарастающим итогом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Август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к 1 августа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 1 сентября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A91F43" w:rsidRPr="009126FF" w:rsidRDefault="00A91F43" w:rsidP="00081040">
            <w:pPr>
              <w:jc w:val="both"/>
            </w:pPr>
            <w:r w:rsidRPr="009126FF">
              <w:t xml:space="preserve">Данные об объёмах изъятия охотничьих ресурсов по видам и группам видов охотничьих ресурсов за период с 1 августа предыдущего года по 31 июля текущего года 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 1 сентября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A91F43" w:rsidRPr="000A6385" w:rsidRDefault="00A91F43" w:rsidP="00081040">
            <w:pPr>
              <w:jc w:val="both"/>
            </w:pPr>
            <w:r w:rsidRPr="000A6385">
              <w:t>Документированная информация о юридических лицах и индивидуальных предпринимателях, осуществляющих виды деятельности в сфере охотничьего хозяйства (форм</w:t>
            </w:r>
            <w:r>
              <w:t>а</w:t>
            </w:r>
            <w:r w:rsidRPr="000A6385">
              <w:t xml:space="preserve"> 3.1, в части численности и штат</w:t>
            </w:r>
            <w:r>
              <w:t>а</w:t>
            </w:r>
            <w:r w:rsidRPr="000A6385">
              <w:t xml:space="preserve"> работников, занятых в охотничьем хозяйстве)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 1 сентября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Документированная информация об организациях, осуществляющих деятельность по закупке, производству и продаже продукции охоты (форма 3.2)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 1 сентября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 xml:space="preserve">Документированная информация об услугах в сфере охотничьего хозяйства, оказываемых юридическими лицами или </w:t>
            </w:r>
            <w:proofErr w:type="gramStart"/>
            <w:r w:rsidRPr="000A6385">
              <w:t>индивидуальным</w:t>
            </w:r>
            <w:proofErr w:type="gramEnd"/>
            <w:r w:rsidRPr="000A6385">
              <w:t xml:space="preserve"> предпринимателями осуществляющими деятельность на территории субъекта Р</w:t>
            </w:r>
            <w:r>
              <w:t xml:space="preserve">оссийской </w:t>
            </w:r>
            <w:r w:rsidRPr="000A6385">
              <w:t>Ф</w:t>
            </w:r>
            <w:r>
              <w:t>едерации</w:t>
            </w:r>
            <w:r w:rsidRPr="000A6385">
              <w:t xml:space="preserve">  (форма 6.1)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 1 сентября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 xml:space="preserve">Документированная информация об осуществлении охоты с участием иностранных граждан (форма 8.1) 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 1 сентября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0A6385" w:rsidRDefault="00A91F43" w:rsidP="00081040">
            <w:pPr>
              <w:jc w:val="both"/>
            </w:pPr>
            <w:r w:rsidRPr="000A6385">
              <w:t>Документированная информация о выявленных случаях нападения охотничьих ресурсов (форма 8.3)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Сентябрь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к 1 сентября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Октябрь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к 1 октября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lastRenderedPageBreak/>
              <w:t>к 1 октября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3.3. Сведения о добыче охотничьих ресурсов, в отношении которых устанавливается лимит добычи; за 3 квартал с нарастающим итогом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к 1 октября</w:t>
            </w:r>
          </w:p>
        </w:tc>
        <w:tc>
          <w:tcPr>
            <w:tcW w:w="13324" w:type="dxa"/>
            <w:shd w:val="clear" w:color="auto" w:fill="auto"/>
          </w:tcPr>
          <w:p w:rsidR="00A91F43" w:rsidRPr="00F66A2F" w:rsidRDefault="00A91F43" w:rsidP="00081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F">
              <w:rPr>
                <w:rFonts w:ascii="Times New Roman" w:hAnsi="Times New Roman" w:cs="Times New Roman"/>
                <w:sz w:val="24"/>
                <w:szCs w:val="24"/>
              </w:rPr>
              <w:t>Таблица 3.4. Сведения о добыче охотничьих ресурсов, в отношении которых лимит добычи не устанавливается; за 3 квартал с нарастающим итогом,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 xml:space="preserve">Ноябрь 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к 1 ноября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Оперативный отчёт по АЧС</w:t>
            </w: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F66A2F" w:rsidRDefault="00A91F43" w:rsidP="00081040">
            <w:pPr>
              <w:jc w:val="both"/>
              <w:rPr>
                <w:b/>
              </w:rPr>
            </w:pPr>
            <w:r w:rsidRPr="00F66A2F">
              <w:rPr>
                <w:b/>
              </w:rPr>
              <w:t>Декабрь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</w:p>
        </w:tc>
      </w:tr>
      <w:tr w:rsidR="00A91F43" w:rsidRPr="00344461" w:rsidTr="00081040">
        <w:tc>
          <w:tcPr>
            <w:tcW w:w="2100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к 1 декабря</w:t>
            </w:r>
          </w:p>
        </w:tc>
        <w:tc>
          <w:tcPr>
            <w:tcW w:w="13324" w:type="dxa"/>
            <w:shd w:val="clear" w:color="auto" w:fill="auto"/>
          </w:tcPr>
          <w:p w:rsidR="00A91F43" w:rsidRPr="00344461" w:rsidRDefault="00A91F43" w:rsidP="00081040">
            <w:pPr>
              <w:jc w:val="both"/>
            </w:pPr>
            <w:r w:rsidRPr="00344461">
              <w:t>Оперативный отчёт по АЧС</w:t>
            </w:r>
          </w:p>
        </w:tc>
      </w:tr>
    </w:tbl>
    <w:p w:rsidR="00A91F43" w:rsidRDefault="00A91F43" w:rsidP="00A91F43">
      <w:pPr>
        <w:jc w:val="both"/>
        <w:rPr>
          <w:b/>
        </w:rPr>
      </w:pPr>
    </w:p>
    <w:p w:rsidR="00A91F43" w:rsidRDefault="00A91F43" w:rsidP="00A91F43">
      <w:pPr>
        <w:jc w:val="center"/>
        <w:rPr>
          <w:bCs/>
        </w:rPr>
      </w:pPr>
    </w:p>
    <w:p w:rsidR="00904343" w:rsidRDefault="00904343"/>
    <w:sectPr w:rsidR="00904343" w:rsidSect="005C76C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3"/>
    <w:rsid w:val="00904343"/>
    <w:rsid w:val="00A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91F43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91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91F43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91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2022-08-12T11:21:00Z</dcterms:created>
  <dcterms:modified xsi:type="dcterms:W3CDTF">2022-08-12T11:22:00Z</dcterms:modified>
</cp:coreProperties>
</file>